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78F4" w:rsidP="62480E29" w:rsidRDefault="009B4098" w14:paraId="00000001" w14:textId="77777777">
      <w:pPr>
        <w:pStyle w:val="Title"/>
        <w:spacing w:line="480" w:lineRule="auto"/>
        <w:jc w:val="right"/>
        <w:rPr>
          <w:sz w:val="24"/>
          <w:szCs w:val="24"/>
          <w:lang w:val="en-US"/>
        </w:rPr>
      </w:pPr>
      <w:bookmarkStart w:name="_vyxnjyxesl2" w:id="0"/>
      <w:bookmarkEnd w:id="0"/>
      <w:r w:rsidRPr="62480E29" w:rsidR="009B4098">
        <w:rPr>
          <w:sz w:val="24"/>
          <w:szCs w:val="24"/>
          <w:lang w:val="en-US"/>
        </w:rPr>
        <w:t xml:space="preserve">Viet </w:t>
      </w:r>
      <w:r w:rsidRPr="62480E29" w:rsidR="009B4098">
        <w:rPr>
          <w:sz w:val="24"/>
          <w:szCs w:val="24"/>
          <w:lang w:val="en-US"/>
        </w:rPr>
        <w:t>Jyac</w:t>
      </w:r>
      <w:r w:rsidRPr="62480E29" w:rsidR="009B4098">
        <w:rPr>
          <w:sz w:val="24"/>
          <w:szCs w:val="24"/>
          <w:lang w:val="en-US"/>
        </w:rPr>
        <w:t xml:space="preserve"> Truong-Ho</w:t>
      </w:r>
    </w:p>
    <w:p w:rsidR="003178F4" w:rsidRDefault="009B4098" w14:paraId="00000002" w14:textId="77777777">
      <w:pPr>
        <w:pStyle w:val="Title"/>
        <w:spacing w:line="480" w:lineRule="auto"/>
        <w:rPr>
          <w:sz w:val="24"/>
          <w:szCs w:val="24"/>
        </w:rPr>
      </w:pPr>
      <w:bookmarkStart w:name="_mjomtcv8wvet" w:colFirst="0" w:colLast="0" w:id="1"/>
      <w:bookmarkEnd w:id="1"/>
      <w:r>
        <w:rPr>
          <w:b/>
          <w:sz w:val="24"/>
          <w:szCs w:val="24"/>
        </w:rPr>
        <w:t>1985 and 2025: The European Social Model and Competitiveness Measures</w:t>
      </w:r>
    </w:p>
    <w:p w:rsidR="003178F4" w:rsidRDefault="009B4098" w14:paraId="00000003" w14:textId="77777777">
      <w:pPr>
        <w:pStyle w:val="Heading1"/>
        <w:spacing w:line="480" w:lineRule="auto"/>
        <w:rPr>
          <w:sz w:val="24"/>
          <w:szCs w:val="24"/>
        </w:rPr>
      </w:pPr>
      <w:bookmarkStart w:name="_oq2bawjkmcfe" w:colFirst="0" w:colLast="0" w:id="2"/>
      <w:bookmarkEnd w:id="2"/>
      <w:r>
        <w:rPr>
          <w:sz w:val="24"/>
          <w:szCs w:val="24"/>
        </w:rPr>
        <w:t>Introduction:</w:t>
      </w:r>
    </w:p>
    <w:p w:rsidR="003178F4" w:rsidP="62480E29" w:rsidRDefault="009B4098" w14:paraId="00000004"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January of 1985 saw the inauguration of two monumental presidents. On one side of the Atlantic, Ronald Reagan’s barely contested re-election marked the continued popularity of his eponymous economic and political movement. Europe, meanwhile, was still seized by </w:t>
      </w:r>
      <w:r w:rsidRPr="62480E29" w:rsidR="009B4098">
        <w:rPr>
          <w:rFonts w:ascii="EB Garamond" w:hAnsi="EB Garamond" w:eastAsia="EB Garamond" w:cs="EB Garamond"/>
          <w:sz w:val="24"/>
          <w:szCs w:val="24"/>
          <w:lang w:val="en-US"/>
        </w:rPr>
        <w:t xml:space="preserve">Eurosclerosis</w:t>
      </w:r>
      <w:r w:rsidRPr="62480E29" w:rsidR="009B4098">
        <w:rPr>
          <w:rFonts w:ascii="EB Garamond" w:hAnsi="EB Garamond" w:eastAsia="EB Garamond" w:cs="EB Garamond"/>
          <w:sz w:val="24"/>
          <w:szCs w:val="24"/>
          <w:lang w:val="en-US"/>
        </w:rPr>
        <w:t xml:space="preserve">: its economies and markets fragmented and stagnant, its political engines apathetic to the cause of integration. </w:t>
      </w:r>
      <w:r w:rsidRPr="62480E29">
        <w:rPr>
          <w:rFonts w:ascii="EB Garamond" w:hAnsi="EB Garamond" w:eastAsia="EB Garamond" w:cs="EB Garamond"/>
          <w:sz w:val="24"/>
          <w:szCs w:val="24"/>
          <w:vertAlign w:val="superscript"/>
          <w:lang w:val="en-US"/>
        </w:rPr>
        <w:footnoteReference w:id="1"/>
      </w:r>
    </w:p>
    <w:p w:rsidR="003178F4" w:rsidP="62480E29" w:rsidRDefault="009B4098" w14:paraId="00000005"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Reagan, as part of America’s rightward political shift, brought about a “significant reconfiguration of the US political, cultural and economic landscape: a neoliberal and neoconservative shift which radically impacted US foreign policy, [and] transatlantic relations”.</w:t>
      </w:r>
      <w:r w:rsidRPr="62480E29">
        <w:rPr>
          <w:rFonts w:ascii="EB Garamond" w:hAnsi="EB Garamond" w:eastAsia="EB Garamond" w:cs="EB Garamond"/>
          <w:sz w:val="24"/>
          <w:szCs w:val="24"/>
          <w:vertAlign w:val="superscript"/>
          <w:lang w:val="en-US"/>
        </w:rPr>
        <w:footnoteReference w:id="2"/>
      </w:r>
      <w:r w:rsidRPr="62480E29" w:rsidR="009B4098">
        <w:rPr>
          <w:rFonts w:ascii="EB Garamond" w:hAnsi="EB Garamond" w:eastAsia="EB Garamond" w:cs="EB Garamond"/>
          <w:sz w:val="24"/>
          <w:szCs w:val="24"/>
          <w:lang w:val="en-US"/>
        </w:rPr>
        <w:t xml:space="preserve"> The neoliberal and neoconservative ideas held by the American New Right had also taken hold across the Atlantic, empowering Margaret Thatcher as the most prominent European champion of </w:t>
      </w:r>
      <w:r w:rsidRPr="62480E29" w:rsidR="009B4098">
        <w:rPr>
          <w:rFonts w:ascii="EB Garamond" w:hAnsi="EB Garamond" w:eastAsia="EB Garamond" w:cs="EB Garamond"/>
          <w:sz w:val="24"/>
          <w:szCs w:val="24"/>
          <w:lang w:val="en-US"/>
        </w:rPr>
        <w:t xml:space="preserve">Reaganist</w:t>
      </w:r>
      <w:r w:rsidRPr="62480E29" w:rsidR="009B4098">
        <w:rPr>
          <w:rFonts w:ascii="EB Garamond" w:hAnsi="EB Garamond" w:eastAsia="EB Garamond" w:cs="EB Garamond"/>
          <w:sz w:val="24"/>
          <w:szCs w:val="24"/>
          <w:lang w:val="en-US"/>
        </w:rPr>
        <w:t xml:space="preserve"> ideas of individualism and market liberalization, deregulation, and privatization.</w:t>
      </w:r>
    </w:p>
    <w:p w:rsidR="003178F4" w:rsidRDefault="009B4098" w14:paraId="00000006"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 xml:space="preserve">It was in this environment that Jacques Delors assumed the presidency of the European Commission and, against hugely influential ideas of individualistic neoliberalism, articulated and popularized a distinct vision of competitive social capitalism and relaunched the project of European political and economic integration. In his time, Delors rejected the notion that Europe must simply import the policies of its more powerful economic rivals; instead, he charted an autonomous path that made social cohesion a </w:t>
      </w:r>
      <w:r>
        <w:rPr>
          <w:rFonts w:ascii="EB Garamond" w:hAnsi="EB Garamond" w:eastAsia="EB Garamond" w:cs="EB Garamond"/>
          <w:sz w:val="24"/>
          <w:szCs w:val="24"/>
        </w:rPr>
        <w:t>precondition of market integration.</w:t>
      </w:r>
    </w:p>
    <w:p w:rsidR="003178F4" w:rsidP="62480E29" w:rsidRDefault="009B4098" w14:paraId="00000007"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In 2025, the world has seen distinct though similar developments. US President Donald Trump has engaged in another radical reconfiguration of American economic and foreign policy at the head of another ascendant American conservative movement. As in 1985, similar ideas and rhetoric can also be seen across the Atlantic with the rise of far-right political parties throughout Europe. Yet again facing economic stagnation, Europe now must also grapple with renewed Russian aggression and novel forms of external i</w:t>
      </w:r>
      <w:r w:rsidRPr="62480E29" w:rsidR="009B4098">
        <w:rPr>
          <w:rFonts w:ascii="EB Garamond" w:hAnsi="EB Garamond" w:eastAsia="EB Garamond" w:cs="EB Garamond"/>
          <w:sz w:val="24"/>
          <w:szCs w:val="24"/>
          <w:lang w:val="en-US"/>
        </w:rPr>
        <w:t xml:space="preserve">nterference, threats to integration from </w:t>
      </w:r>
      <w:r w:rsidRPr="62480E29" w:rsidR="009B4098">
        <w:rPr>
          <w:rFonts w:ascii="EB Garamond" w:hAnsi="EB Garamond" w:eastAsia="EB Garamond" w:cs="EB Garamond"/>
          <w:sz w:val="24"/>
          <w:szCs w:val="24"/>
          <w:lang w:val="en-US"/>
        </w:rPr>
        <w:t>newly-empowered</w:t>
      </w:r>
      <w:r w:rsidRPr="62480E29" w:rsidR="009B4098">
        <w:rPr>
          <w:rFonts w:ascii="EB Garamond" w:hAnsi="EB Garamond" w:eastAsia="EB Garamond" w:cs="EB Garamond"/>
          <w:sz w:val="24"/>
          <w:szCs w:val="24"/>
          <w:lang w:val="en-US"/>
        </w:rPr>
        <w:t xml:space="preserve"> Eurosceptic political parties and irregular migration, and the growing climate crisis. </w:t>
      </w:r>
    </w:p>
    <w:p w:rsidR="003178F4" w:rsidRDefault="009B4098" w14:paraId="00000008"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 xml:space="preserve">It is within this context that European Commission President Ursula von der Leyen has introduced the 2025 EU Competitiveness Compass, a strategy to revitalize European innovation and growth, while de-emphasizing her first-term priorities which were centered on the ‘European Green Deal’. </w:t>
      </w:r>
      <w:r>
        <w:rPr>
          <w:rFonts w:ascii="EB Garamond" w:hAnsi="EB Garamond" w:eastAsia="EB Garamond" w:cs="EB Garamond"/>
          <w:sz w:val="24"/>
          <w:szCs w:val="24"/>
          <w:vertAlign w:val="superscript"/>
        </w:rPr>
        <w:footnoteReference w:id="3"/>
      </w:r>
    </w:p>
    <w:p w:rsidR="003178F4" w:rsidRDefault="009B4098" w14:paraId="00000009"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This paper argues that Delors’ conscious rejection of American and Japanese economic templates, and his willingness to craft a uniquely European synthesis of solidarity and market efficiency, were decisive for the EU’s late‑twentieth‑century success—but that today’s Competitiveness Compass jeopardizes that heritage. By importing deregulatory logic from abroad, the von der Leyen Commission risks eroding the EU’s social rights and international standing while offering, at best, limited economic gains.</w:t>
      </w:r>
    </w:p>
    <w:p w:rsidR="003178F4" w:rsidRDefault="009B4098" w14:paraId="0000000A"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This paper will cover and compare historical and modern EU competitiveness strategies and economic visions and their emergence within the domestic-continental, transatlantic, and global environments of 2025 and 1985. Further, this paper will examine the emergence and elements of the uniquely European system of social capitalism articulated and pursued by Jacques Delors, the ways in which modern approaches to European economic strategy and policy have diverged from Delors’ vision, and the potential and reali</w:t>
      </w:r>
      <w:r>
        <w:rPr>
          <w:rFonts w:ascii="EB Garamond" w:hAnsi="EB Garamond" w:eastAsia="EB Garamond" w:cs="EB Garamond"/>
          <w:sz w:val="24"/>
          <w:szCs w:val="24"/>
        </w:rPr>
        <w:t>zed effects of these differences on fundamental EU norms, rights, and society.</w:t>
      </w:r>
    </w:p>
    <w:p w:rsidR="003178F4" w:rsidRDefault="003178F4" w14:paraId="0000000B" w14:textId="77777777">
      <w:pPr>
        <w:spacing w:line="480" w:lineRule="auto"/>
        <w:ind w:firstLine="720"/>
        <w:rPr>
          <w:rFonts w:ascii="EB Garamond" w:hAnsi="EB Garamond" w:eastAsia="EB Garamond" w:cs="EB Garamond"/>
          <w:sz w:val="24"/>
          <w:szCs w:val="24"/>
        </w:rPr>
      </w:pPr>
    </w:p>
    <w:p w:rsidR="003178F4" w:rsidRDefault="009B4098" w14:paraId="0000000C" w14:textId="77777777">
      <w:pPr>
        <w:pStyle w:val="Heading1"/>
        <w:spacing w:line="480" w:lineRule="auto"/>
        <w:rPr>
          <w:sz w:val="24"/>
          <w:szCs w:val="24"/>
        </w:rPr>
      </w:pPr>
      <w:bookmarkStart w:name="_52u9j4niwp9x" w:colFirst="0" w:colLast="0" w:id="3"/>
      <w:bookmarkEnd w:id="3"/>
      <w:r>
        <w:rPr>
          <w:sz w:val="24"/>
          <w:szCs w:val="24"/>
        </w:rPr>
        <w:t>Delors’ Economic and Competitiveness Vision:</w:t>
      </w:r>
    </w:p>
    <w:p w:rsidR="003178F4" w:rsidP="62480E29" w:rsidRDefault="009B4098" w14:paraId="0000000D"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In 1988, Jacques Delors addressed the Trades Union Congress, presenting a vision that would define a European path distinct from the neoliberalism ideas prominent in the Anglo-American political and economic space. He insisted that economic growth should not undermine social cohesion, workers’ rights, or public welfare. As he put it, "you cannot fall in love with the single market" unless it also protects communities and promotes </w:t>
      </w:r>
      <w:r w:rsidRPr="62480E29" w:rsidR="009B4098">
        <w:rPr>
          <w:rFonts w:ascii="EB Garamond" w:hAnsi="EB Garamond" w:eastAsia="EB Garamond" w:cs="EB Garamond"/>
          <w:sz w:val="24"/>
          <w:szCs w:val="24"/>
          <w:lang w:val="en-US"/>
        </w:rPr>
        <w:t>equity.</w:t>
      </w:r>
      <w:r w:rsidRPr="62480E29">
        <w:rPr>
          <w:rFonts w:ascii="EB Garamond" w:hAnsi="EB Garamond" w:eastAsia="EB Garamond" w:cs="EB Garamond"/>
          <w:sz w:val="24"/>
          <w:szCs w:val="24"/>
          <w:vertAlign w:val="superscript"/>
          <w:lang w:val="en-US"/>
        </w:rPr>
        <w:footnoteReference w:id="4"/>
      </w:r>
    </w:p>
    <w:p w:rsidR="003178F4" w:rsidP="62480E29" w:rsidRDefault="009B4098" w14:paraId="0000000E"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Delors' model of social capitalism aimed to match economic competitiveness with strong embedded social protections and mechanisms. He believed that integration and innovation ought to be pursued alongside protections for labor, regional development, and public welfare. The "European social dimension," as he called it, was not a peripheral concern but a core </w:t>
      </w:r>
      <w:r w:rsidRPr="62480E29" w:rsidR="009B4098">
        <w:rPr>
          <w:rFonts w:ascii="EB Garamond" w:hAnsi="EB Garamond" w:eastAsia="EB Garamond" w:cs="EB Garamond"/>
          <w:sz w:val="24"/>
          <w:szCs w:val="24"/>
          <w:lang w:val="en-US"/>
        </w:rPr>
        <w:t>component</w:t>
      </w:r>
      <w:r w:rsidRPr="62480E29" w:rsidR="009B4098">
        <w:rPr>
          <w:rFonts w:ascii="EB Garamond" w:hAnsi="EB Garamond" w:eastAsia="EB Garamond" w:cs="EB Garamond"/>
          <w:sz w:val="24"/>
          <w:szCs w:val="24"/>
          <w:lang w:val="en-US"/>
        </w:rPr>
        <w:t xml:space="preserve"> of the integration process. He emphasized collective bargaining, improved working conditions, and efforts to reduce regional disparities acros</w:t>
      </w:r>
      <w:r w:rsidRPr="62480E29" w:rsidR="009B4098">
        <w:rPr>
          <w:rFonts w:ascii="EB Garamond" w:hAnsi="EB Garamond" w:eastAsia="EB Garamond" w:cs="EB Garamond"/>
          <w:sz w:val="24"/>
          <w:szCs w:val="24"/>
          <w:lang w:val="en-US"/>
        </w:rPr>
        <w:t xml:space="preserve">s the </w:t>
      </w:r>
      <w:r w:rsidRPr="62480E29" w:rsidR="009B4098">
        <w:rPr>
          <w:rFonts w:ascii="EB Garamond" w:hAnsi="EB Garamond" w:eastAsia="EB Garamond" w:cs="EB Garamond"/>
          <w:sz w:val="24"/>
          <w:szCs w:val="24"/>
          <w:lang w:val="en-US"/>
        </w:rPr>
        <w:t>continent.</w:t>
      </w:r>
      <w:r w:rsidRPr="62480E29">
        <w:rPr>
          <w:rFonts w:ascii="EB Garamond" w:hAnsi="EB Garamond" w:eastAsia="EB Garamond" w:cs="EB Garamond"/>
          <w:sz w:val="24"/>
          <w:szCs w:val="24"/>
          <w:vertAlign w:val="superscript"/>
          <w:lang w:val="en-US"/>
        </w:rPr>
        <w:footnoteReference w:id="5"/>
      </w:r>
    </w:p>
    <w:p w:rsidR="003178F4" w:rsidRDefault="009B4098" w14:paraId="0000000F"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Delors’ position placed him at odds with dominant trends in both Washington and London. Reaganomics, with its emphasis on deregulation, privatization, and fiscal austerity, had reshaped American economic policy and inspired like-minded reforms across the Atlantic. In the United Kingdom, Margaret Thatcher’s economic revolution radically rejected the notion of society altogether. Against this ideological backdrop, Delors offered a different framework that was grounded in his past as a trade unionist and his b</w:t>
      </w:r>
      <w:r>
        <w:rPr>
          <w:rFonts w:ascii="EB Garamond" w:hAnsi="EB Garamond" w:eastAsia="EB Garamond" w:cs="EB Garamond"/>
          <w:sz w:val="24"/>
          <w:szCs w:val="24"/>
        </w:rPr>
        <w:t>elief that individual responsibility must be embedded within a larger structure of community obligations.</w:t>
      </w:r>
    </w:p>
    <w:p w:rsidR="003178F4" w:rsidP="62480E29" w:rsidRDefault="009B4098" w14:paraId="00000010"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He also viewed structured social dialogue between workers, unions, employers, and governments as central to sustainable economic progress. This contrasted sharply with the deregulatory emphasis of the period. For Delors, dialogue and consensus were not obstacles to competitiveness, but essential to ensuring that market forces served broader social goals. He was particularly critical of the fragmentation he </w:t>
      </w:r>
      <w:r w:rsidRPr="62480E29" w:rsidR="009B4098">
        <w:rPr>
          <w:rFonts w:ascii="EB Garamond" w:hAnsi="EB Garamond" w:eastAsia="EB Garamond" w:cs="EB Garamond"/>
          <w:sz w:val="24"/>
          <w:szCs w:val="24"/>
          <w:lang w:val="en-US"/>
        </w:rPr>
        <w:t>observed</w:t>
      </w:r>
      <w:r w:rsidRPr="62480E29" w:rsidR="009B4098">
        <w:rPr>
          <w:rFonts w:ascii="EB Garamond" w:hAnsi="EB Garamond" w:eastAsia="EB Garamond" w:cs="EB Garamond"/>
          <w:sz w:val="24"/>
          <w:szCs w:val="24"/>
          <w:lang w:val="en-US"/>
        </w:rPr>
        <w:t xml:space="preserve"> in American and British approaches to economic organization, arguing that a purely market-dri</w:t>
      </w:r>
      <w:r w:rsidRPr="62480E29" w:rsidR="009B4098">
        <w:rPr>
          <w:rFonts w:ascii="EB Garamond" w:hAnsi="EB Garamond" w:eastAsia="EB Garamond" w:cs="EB Garamond"/>
          <w:sz w:val="24"/>
          <w:szCs w:val="24"/>
          <w:lang w:val="en-US"/>
        </w:rPr>
        <w:t>ven system led to “atomization and social decay</w:t>
      </w:r>
      <w:r w:rsidRPr="62480E29" w:rsidR="009B4098">
        <w:rPr>
          <w:rFonts w:ascii="EB Garamond" w:hAnsi="EB Garamond" w:eastAsia="EB Garamond" w:cs="EB Garamond"/>
          <w:sz w:val="24"/>
          <w:szCs w:val="24"/>
          <w:lang w:val="en-US"/>
        </w:rPr>
        <w:t>”.</w:t>
      </w:r>
      <w:r w:rsidRPr="62480E29" w:rsidR="009B4098">
        <w:rPr>
          <w:rFonts w:ascii="EB Garamond" w:hAnsi="EB Garamond" w:eastAsia="EB Garamond" w:cs="EB Garamond"/>
          <w:sz w:val="24"/>
          <w:szCs w:val="24"/>
          <w:lang w:val="en-US"/>
        </w:rPr>
        <w:t xml:space="preserve"> He </w:t>
      </w:r>
      <w:r w:rsidRPr="62480E29" w:rsidR="009B4098">
        <w:rPr>
          <w:rFonts w:ascii="EB Garamond" w:hAnsi="EB Garamond" w:eastAsia="EB Garamond" w:cs="EB Garamond"/>
          <w:sz w:val="24"/>
          <w:szCs w:val="24"/>
          <w:lang w:val="en-US"/>
        </w:rPr>
        <w:t>sought</w:t>
      </w:r>
      <w:r w:rsidRPr="62480E29" w:rsidR="009B4098">
        <w:rPr>
          <w:rFonts w:ascii="EB Garamond" w:hAnsi="EB Garamond" w:eastAsia="EB Garamond" w:cs="EB Garamond"/>
          <w:sz w:val="24"/>
          <w:szCs w:val="24"/>
          <w:lang w:val="en-US"/>
        </w:rPr>
        <w:t xml:space="preserve"> to forge a unique path for European capitalism: a balance between growth and cohesion, </w:t>
      </w:r>
      <w:r w:rsidRPr="62480E29" w:rsidR="009B4098">
        <w:rPr>
          <w:rFonts w:ascii="EB Garamond" w:hAnsi="EB Garamond" w:eastAsia="EB Garamond" w:cs="EB Garamond"/>
          <w:sz w:val="24"/>
          <w:szCs w:val="24"/>
          <w:lang w:val="en-US"/>
        </w:rPr>
        <w:t>dynamism</w:t>
      </w:r>
      <w:r w:rsidRPr="62480E29" w:rsidR="009B4098">
        <w:rPr>
          <w:rFonts w:ascii="EB Garamond" w:hAnsi="EB Garamond" w:eastAsia="EB Garamond" w:cs="EB Garamond"/>
          <w:sz w:val="24"/>
          <w:szCs w:val="24"/>
          <w:lang w:val="en-US"/>
        </w:rPr>
        <w:t xml:space="preserve"> and protection.</w:t>
      </w:r>
    </w:p>
    <w:p w:rsidR="003178F4" w:rsidP="62480E29" w:rsidRDefault="009B4098" w14:paraId="00000011"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Where many contemporaries urged Europe to copy “Reaganomics” or emulate Japan’s lean industrial model, Delors argued that neither framework could be transplanted wholesale onto Europe’s heterogeneous economies and welfare states. Instead, he treated the Single Market as a laboratory for European synthesis in pursuit of competitiveness and technological </w:t>
      </w:r>
      <w:r w:rsidRPr="62480E29" w:rsidR="009B4098">
        <w:rPr>
          <w:rFonts w:ascii="EB Garamond" w:hAnsi="EB Garamond" w:eastAsia="EB Garamond" w:cs="EB Garamond"/>
          <w:sz w:val="24"/>
          <w:szCs w:val="24"/>
          <w:lang w:val="en-US"/>
        </w:rPr>
        <w:t>advancement, yet</w:t>
      </w:r>
      <w:r w:rsidRPr="62480E29" w:rsidR="009B4098">
        <w:rPr>
          <w:rFonts w:ascii="EB Garamond" w:hAnsi="EB Garamond" w:eastAsia="EB Garamond" w:cs="EB Garamond"/>
          <w:sz w:val="24"/>
          <w:szCs w:val="24"/>
          <w:lang w:val="en-US"/>
        </w:rPr>
        <w:t xml:space="preserve"> anchored in collective bargaining and social dialogue. This conscious non‑alignment with foreign orthodoxies would, he insisted, be the key </w:t>
      </w:r>
      <w:r w:rsidRPr="62480E29" w:rsidR="009B4098">
        <w:rPr>
          <w:rFonts w:ascii="EB Garamond" w:hAnsi="EB Garamond" w:eastAsia="EB Garamond" w:cs="EB Garamond"/>
          <w:sz w:val="24"/>
          <w:szCs w:val="24"/>
          <w:lang w:val="en-US"/>
        </w:rPr>
        <w:t>to Europe’s legitimacy at home and its attractiveness abroad.</w:t>
      </w:r>
    </w:p>
    <w:p w:rsidR="003178F4" w:rsidP="62480E29" w:rsidRDefault="009B4098" w14:paraId="00000012"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Delors emphasized that Europe’s historic identity was tied to this very balance. He distinguished the European approach from the American model advanced by Reagan. Where the latter prioritized market individualism, Delors stressed shared responsibility and social solidarity. He warned that markets without a "moral conscience" risked eroding the social fabric. "Europe is the land of the election of the balance between society and the individual," he said. "Today, outside Europe this equilibrium is almost eve</w:t>
      </w:r>
      <w:r w:rsidRPr="62480E29" w:rsidR="009B4098">
        <w:rPr>
          <w:rFonts w:ascii="EB Garamond" w:hAnsi="EB Garamond" w:eastAsia="EB Garamond" w:cs="EB Garamond"/>
          <w:sz w:val="24"/>
          <w:szCs w:val="24"/>
          <w:lang w:val="en-US"/>
        </w:rPr>
        <w:t>rywhere broken</w:t>
      </w:r>
      <w:r w:rsidRPr="62480E29" w:rsidR="009B4098">
        <w:rPr>
          <w:rFonts w:ascii="EB Garamond" w:hAnsi="EB Garamond" w:eastAsia="EB Garamond" w:cs="EB Garamond"/>
          <w:sz w:val="24"/>
          <w:szCs w:val="24"/>
          <w:lang w:val="en-US"/>
        </w:rPr>
        <w:t>".</w:t>
      </w:r>
      <w:r w:rsidRPr="62480E29">
        <w:rPr>
          <w:rFonts w:ascii="EB Garamond" w:hAnsi="EB Garamond" w:eastAsia="EB Garamond" w:cs="EB Garamond"/>
          <w:sz w:val="24"/>
          <w:szCs w:val="24"/>
          <w:vertAlign w:val="superscript"/>
          <w:lang w:val="en-US"/>
        </w:rPr>
        <w:footnoteReference w:id="6"/>
      </w:r>
    </w:p>
    <w:p w:rsidR="003178F4" w:rsidP="62480E29" w:rsidRDefault="009B4098" w14:paraId="00000013"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The institutional expression of this model was deliberate and structured. Under Delors’ leadership, the European Commission would move to expand the scope of social policy. Articles 118A and 118B of the Single European Act laid the groundwork for EU-level action on health and safety and institutionalized social </w:t>
      </w:r>
      <w:r w:rsidRPr="62480E29" w:rsidR="009B4098">
        <w:rPr>
          <w:rFonts w:ascii="EB Garamond" w:hAnsi="EB Garamond" w:eastAsia="EB Garamond" w:cs="EB Garamond"/>
          <w:sz w:val="24"/>
          <w:szCs w:val="24"/>
          <w:lang w:val="en-US"/>
        </w:rPr>
        <w:t>dialogue.</w:t>
      </w:r>
      <w:r w:rsidRPr="62480E29">
        <w:rPr>
          <w:rFonts w:ascii="EB Garamond" w:hAnsi="EB Garamond" w:eastAsia="EB Garamond" w:cs="EB Garamond"/>
          <w:sz w:val="24"/>
          <w:szCs w:val="24"/>
          <w:vertAlign w:val="superscript"/>
          <w:lang w:val="en-US"/>
        </w:rPr>
        <w:footnoteReference w:id="7"/>
      </w:r>
      <w:r w:rsidRPr="62480E29" w:rsidR="009B4098">
        <w:rPr>
          <w:rFonts w:ascii="EB Garamond" w:hAnsi="EB Garamond" w:eastAsia="EB Garamond" w:cs="EB Garamond"/>
          <w:sz w:val="24"/>
          <w:szCs w:val="24"/>
          <w:lang w:val="en-US"/>
        </w:rPr>
        <w:t xml:space="preserve"> This was accompanied by efforts to bolster economic and social cohesion, including increased funding for regional development and structural support for lagging economies. Delors believed that market integration must be matched by the concept of European solidarity, and his efforts served to ensure that the benefits of the single market did not come at the expense of peripheral regions or vulnerable populations.</w:t>
      </w:r>
    </w:p>
    <w:p w:rsidR="003178F4" w:rsidP="62480E29" w:rsidRDefault="009B4098" w14:paraId="00000014"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Delors’ ideas offered an alternative to the prevailing neoliberal orthodoxy of the 1980s. His vision helped frame European integration not just as a project of economic coordination, but as a broader effort to </w:t>
      </w:r>
      <w:r w:rsidRPr="62480E29" w:rsidR="009B4098">
        <w:rPr>
          <w:rFonts w:ascii="EB Garamond" w:hAnsi="EB Garamond" w:eastAsia="EB Garamond" w:cs="EB Garamond"/>
          <w:sz w:val="24"/>
          <w:szCs w:val="24"/>
          <w:lang w:val="en-US"/>
        </w:rPr>
        <w:t>maintain</w:t>
      </w:r>
      <w:r w:rsidRPr="62480E29" w:rsidR="009B4098">
        <w:rPr>
          <w:rFonts w:ascii="EB Garamond" w:hAnsi="EB Garamond" w:eastAsia="EB Garamond" w:cs="EB Garamond"/>
          <w:sz w:val="24"/>
          <w:szCs w:val="24"/>
          <w:lang w:val="en-US"/>
        </w:rPr>
        <w:t xml:space="preserve"> a distinct model of capitalism—one that aimed to combine dynamism with fairness. In doing so, he gave rise to a dominant political and moral narrative that extends beyond the details of policy and beyond the borders of the community. Europe, under Delors, was not just building a market; it wa</w:t>
      </w:r>
      <w:r w:rsidRPr="62480E29" w:rsidR="009B4098">
        <w:rPr>
          <w:rFonts w:ascii="EB Garamond" w:hAnsi="EB Garamond" w:eastAsia="EB Garamond" w:cs="EB Garamond"/>
          <w:sz w:val="24"/>
          <w:szCs w:val="24"/>
          <w:lang w:val="en-US"/>
        </w:rPr>
        <w:t xml:space="preserve">s taking on the moral challenge of neoliberalism, articulating a unique civilization with leading social protections, and exporting this model of social and moral leadership to the world. </w:t>
      </w:r>
    </w:p>
    <w:p w:rsidR="003178F4" w:rsidRDefault="003178F4" w14:paraId="00000015" w14:textId="77777777">
      <w:pPr>
        <w:spacing w:line="480" w:lineRule="auto"/>
        <w:ind w:firstLine="720"/>
        <w:rPr>
          <w:rFonts w:ascii="EB Garamond" w:hAnsi="EB Garamond" w:eastAsia="EB Garamond" w:cs="EB Garamond"/>
          <w:sz w:val="24"/>
          <w:szCs w:val="24"/>
        </w:rPr>
      </w:pPr>
    </w:p>
    <w:p w:rsidR="003178F4" w:rsidRDefault="009B4098" w14:paraId="00000016" w14:textId="77777777">
      <w:pPr>
        <w:pStyle w:val="Heading1"/>
        <w:spacing w:line="480" w:lineRule="auto"/>
        <w:rPr>
          <w:sz w:val="24"/>
          <w:szCs w:val="24"/>
        </w:rPr>
      </w:pPr>
      <w:bookmarkStart w:name="_8cg8h7k4zb6n" w:colFirst="0" w:colLast="0" w:id="4"/>
      <w:bookmarkEnd w:id="4"/>
      <w:r>
        <w:rPr>
          <w:sz w:val="24"/>
          <w:szCs w:val="24"/>
        </w:rPr>
        <w:t>Von Der Leyen’s Competitiveness Measures:</w:t>
      </w:r>
    </w:p>
    <w:p w:rsidR="003178F4" w:rsidP="62480E29" w:rsidRDefault="009B4098" w14:paraId="00000017"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In 2025, European Commission President Ursula von der Leyen introduced the EU Competitiveness Compass as a response to decades of sluggish growth, declining productivity, and increasing competition from global economic powers. Recognizing the urgent need to address these structural weaknesses, the Competitiveness Compass was built upon a consultation process and heavily informed by the insights of former Italian Prime Minister Mario Draghi’s ‘Report on European Competitiveness</w:t>
      </w:r>
      <w:r w:rsidRPr="62480E29" w:rsidR="009B4098">
        <w:rPr>
          <w:rFonts w:ascii="EB Garamond" w:hAnsi="EB Garamond" w:eastAsia="EB Garamond" w:cs="EB Garamond"/>
          <w:sz w:val="24"/>
          <w:szCs w:val="24"/>
          <w:lang w:val="en-US"/>
        </w:rPr>
        <w:t>’.</w:t>
      </w:r>
      <w:r w:rsidRPr="62480E29" w:rsidR="009B4098">
        <w:rPr>
          <w:rFonts w:ascii="EB Garamond" w:hAnsi="EB Garamond" w:eastAsia="EB Garamond" w:cs="EB Garamond"/>
          <w:sz w:val="24"/>
          <w:szCs w:val="24"/>
          <w:lang w:val="en-US"/>
        </w:rPr>
        <w:t xml:space="preserve"> This report warned that Euro</w:t>
      </w:r>
      <w:r w:rsidRPr="62480E29" w:rsidR="009B4098">
        <w:rPr>
          <w:rFonts w:ascii="EB Garamond" w:hAnsi="EB Garamond" w:eastAsia="EB Garamond" w:cs="EB Garamond"/>
          <w:sz w:val="24"/>
          <w:szCs w:val="24"/>
          <w:lang w:val="en-US"/>
        </w:rPr>
        <w:t xml:space="preserve">pe could no longer rely only on </w:t>
      </w:r>
      <w:r w:rsidRPr="62480E29" w:rsidR="009B4098">
        <w:rPr>
          <w:rFonts w:ascii="EB Garamond" w:hAnsi="EB Garamond" w:eastAsia="EB Garamond" w:cs="EB Garamond"/>
          <w:sz w:val="24"/>
          <w:szCs w:val="24"/>
          <w:lang w:val="en-US"/>
        </w:rPr>
        <w:t>previous</w:t>
      </w:r>
      <w:r w:rsidRPr="62480E29" w:rsidR="009B4098">
        <w:rPr>
          <w:rFonts w:ascii="EB Garamond" w:hAnsi="EB Garamond" w:eastAsia="EB Garamond" w:cs="EB Garamond"/>
          <w:sz w:val="24"/>
          <w:szCs w:val="24"/>
          <w:lang w:val="en-US"/>
        </w:rPr>
        <w:t xml:space="preserve"> drivers of growth, such as robust global trade, cheap fossil fuels, and geopolitical stability. </w:t>
      </w:r>
    </w:p>
    <w:p w:rsidR="003178F4" w:rsidP="62480E29" w:rsidRDefault="009B4098" w14:paraId="00000018"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Whereas Delors </w:t>
      </w:r>
      <w:r w:rsidRPr="62480E29" w:rsidR="009B4098">
        <w:rPr>
          <w:rFonts w:ascii="EB Garamond" w:hAnsi="EB Garamond" w:eastAsia="EB Garamond" w:cs="EB Garamond"/>
          <w:sz w:val="24"/>
          <w:szCs w:val="24"/>
          <w:lang w:val="en-US"/>
        </w:rPr>
        <w:t>sought</w:t>
      </w:r>
      <w:r w:rsidRPr="62480E29" w:rsidR="009B4098">
        <w:rPr>
          <w:rFonts w:ascii="EB Garamond" w:hAnsi="EB Garamond" w:eastAsia="EB Garamond" w:cs="EB Garamond"/>
          <w:sz w:val="24"/>
          <w:szCs w:val="24"/>
          <w:lang w:val="en-US"/>
        </w:rPr>
        <w:t xml:space="preserve"> to shield Europe from imported neoliberalism, von der Leyen and the Draghi report openly laud the U.S. regulatory sandbox and </w:t>
      </w:r>
      <w:r w:rsidRPr="62480E29" w:rsidR="009B4098">
        <w:rPr>
          <w:rFonts w:ascii="EB Garamond" w:hAnsi="EB Garamond" w:eastAsia="EB Garamond" w:cs="EB Garamond"/>
          <w:sz w:val="24"/>
          <w:szCs w:val="24"/>
          <w:lang w:val="en-US"/>
        </w:rPr>
        <w:t>identifies</w:t>
      </w:r>
      <w:r w:rsidRPr="62480E29" w:rsidR="009B4098">
        <w:rPr>
          <w:rFonts w:ascii="EB Garamond" w:hAnsi="EB Garamond" w:eastAsia="EB Garamond" w:cs="EB Garamond"/>
          <w:sz w:val="24"/>
          <w:szCs w:val="24"/>
          <w:lang w:val="en-US"/>
        </w:rPr>
        <w:t xml:space="preserve"> “cutting red tape” as flagship aims</w:t>
      </w:r>
      <w:r w:rsidRPr="62480E29">
        <w:rPr>
          <w:rFonts w:ascii="EB Garamond" w:hAnsi="EB Garamond" w:eastAsia="EB Garamond" w:cs="EB Garamond"/>
          <w:sz w:val="24"/>
          <w:szCs w:val="24"/>
          <w:vertAlign w:val="superscript"/>
          <w:lang w:val="en-US"/>
        </w:rPr>
        <w:footnoteReference w:id="8"/>
      </w:r>
      <w:r w:rsidRPr="62480E29" w:rsidR="009B4098">
        <w:rPr>
          <w:rFonts w:ascii="EB Garamond" w:hAnsi="EB Garamond" w:eastAsia="EB Garamond" w:cs="EB Garamond"/>
          <w:sz w:val="24"/>
          <w:szCs w:val="24"/>
          <w:lang w:val="en-US"/>
        </w:rPr>
        <w:t>. Many of the Compass’s “horizontal enabling measures” track the deregulatory language of successive U.S. administrations, promising sweeping cost‑benefit reviews, omnibus roll‑</w:t>
      </w:r>
      <w:r w:rsidRPr="62480E29" w:rsidR="009B4098">
        <w:rPr>
          <w:rFonts w:ascii="EB Garamond" w:hAnsi="EB Garamond" w:eastAsia="EB Garamond" w:cs="EB Garamond"/>
          <w:sz w:val="24"/>
          <w:szCs w:val="24"/>
          <w:lang w:val="en-US"/>
        </w:rPr>
        <w:t>backs</w:t>
      </w:r>
      <w:r w:rsidRPr="62480E29" w:rsidR="009B4098">
        <w:rPr>
          <w:rFonts w:ascii="EB Garamond" w:hAnsi="EB Garamond" w:eastAsia="EB Garamond" w:cs="EB Garamond"/>
          <w:sz w:val="24"/>
          <w:szCs w:val="24"/>
          <w:lang w:val="en-US"/>
        </w:rPr>
        <w:t xml:space="preserve"> and an explicit 25 % reduction target for reporting </w:t>
      </w:r>
      <w:r w:rsidRPr="62480E29" w:rsidR="009B4098">
        <w:rPr>
          <w:rFonts w:ascii="EB Garamond" w:hAnsi="EB Garamond" w:eastAsia="EB Garamond" w:cs="EB Garamond"/>
          <w:sz w:val="24"/>
          <w:szCs w:val="24"/>
          <w:lang w:val="en-US"/>
        </w:rPr>
        <w:t>duties.⁰</w:t>
      </w:r>
    </w:p>
    <w:p w:rsidR="003178F4" w:rsidP="62480E29" w:rsidRDefault="009B4098" w14:paraId="00000019"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Despite this, </w:t>
      </w:r>
      <w:r w:rsidRPr="62480E29" w:rsidR="009B4098">
        <w:rPr>
          <w:rFonts w:ascii="EB Garamond" w:hAnsi="EB Garamond" w:eastAsia="EB Garamond" w:cs="EB Garamond"/>
          <w:sz w:val="24"/>
          <w:szCs w:val="24"/>
          <w:lang w:val="en-US"/>
        </w:rPr>
        <w:t>promised</w:t>
      </w:r>
      <w:r w:rsidRPr="62480E29" w:rsidR="009B4098">
        <w:rPr>
          <w:rFonts w:ascii="EB Garamond" w:hAnsi="EB Garamond" w:eastAsia="EB Garamond" w:cs="EB Garamond"/>
          <w:sz w:val="24"/>
          <w:szCs w:val="24"/>
          <w:lang w:val="en-US"/>
        </w:rPr>
        <w:t xml:space="preserve"> gains </w:t>
      </w:r>
      <w:r w:rsidRPr="62480E29" w:rsidR="009B4098">
        <w:rPr>
          <w:rFonts w:ascii="EB Garamond" w:hAnsi="EB Garamond" w:eastAsia="EB Garamond" w:cs="EB Garamond"/>
          <w:sz w:val="24"/>
          <w:szCs w:val="24"/>
          <w:lang w:val="en-US"/>
        </w:rPr>
        <w:t>remain</w:t>
      </w:r>
      <w:r w:rsidRPr="62480E29" w:rsidR="009B4098">
        <w:rPr>
          <w:rFonts w:ascii="EB Garamond" w:hAnsi="EB Garamond" w:eastAsia="EB Garamond" w:cs="EB Garamond"/>
          <w:sz w:val="24"/>
          <w:szCs w:val="24"/>
          <w:lang w:val="en-US"/>
        </w:rPr>
        <w:t xml:space="preserve"> speculative. Commission impact assessments project a one‑off GDP bump of 1 – 1.5 %, a figure that pales beside the social acquis now placed at risk. Independent studies further caution that deregulation alone cannot overcome Europe’s fragmented capital markets or its under‑investment in R&amp;D—problems that the Compass largely </w:t>
      </w:r>
      <w:r w:rsidRPr="62480E29" w:rsidR="009B4098">
        <w:rPr>
          <w:rFonts w:ascii="EB Garamond" w:hAnsi="EB Garamond" w:eastAsia="EB Garamond" w:cs="EB Garamond"/>
          <w:sz w:val="24"/>
          <w:szCs w:val="24"/>
          <w:lang w:val="en-US"/>
        </w:rPr>
        <w:t>sidesteps.</w:t>
      </w:r>
      <w:r w:rsidRPr="62480E29">
        <w:rPr>
          <w:rFonts w:ascii="EB Garamond" w:hAnsi="EB Garamond" w:eastAsia="EB Garamond" w:cs="EB Garamond"/>
          <w:sz w:val="24"/>
          <w:szCs w:val="24"/>
          <w:vertAlign w:val="superscript"/>
          <w:lang w:val="en-US"/>
        </w:rPr>
        <w:footnoteReference w:id="9"/>
      </w:r>
    </w:p>
    <w:p w:rsidR="003178F4" w:rsidP="62480E29" w:rsidRDefault="009B4098" w14:paraId="0000001A"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First, the Draghi report recommends “closing the innovation gap” by creating an environment conducive to start-up businesses, promoting leadership in </w:t>
      </w:r>
      <w:r w:rsidRPr="62480E29" w:rsidR="009B4098">
        <w:rPr>
          <w:rFonts w:ascii="EB Garamond" w:hAnsi="EB Garamond" w:eastAsia="EB Garamond" w:cs="EB Garamond"/>
          <w:sz w:val="24"/>
          <w:szCs w:val="24"/>
          <w:lang w:val="en-US"/>
        </w:rPr>
        <w:t>high-growth</w:t>
      </w:r>
      <w:r w:rsidRPr="62480E29" w:rsidR="009B4098">
        <w:rPr>
          <w:rFonts w:ascii="EB Garamond" w:hAnsi="EB Garamond" w:eastAsia="EB Garamond" w:cs="EB Garamond"/>
          <w:sz w:val="24"/>
          <w:szCs w:val="24"/>
          <w:lang w:val="en-US"/>
        </w:rPr>
        <w:t xml:space="preserve"> “deep technology” sectors like AI, and promoting the diffusion of these technologies across the economy. This parallels Jacques Delor’s emphasis on “full command of technology</w:t>
      </w:r>
      <w:r w:rsidRPr="62480E29" w:rsidR="009B4098">
        <w:rPr>
          <w:rFonts w:ascii="EB Garamond" w:hAnsi="EB Garamond" w:eastAsia="EB Garamond" w:cs="EB Garamond"/>
          <w:sz w:val="24"/>
          <w:szCs w:val="24"/>
          <w:lang w:val="en-US"/>
        </w:rPr>
        <w:t>”.</w:t>
      </w:r>
      <w:r w:rsidRPr="62480E29">
        <w:rPr>
          <w:rFonts w:ascii="EB Garamond" w:hAnsi="EB Garamond" w:eastAsia="EB Garamond" w:cs="EB Garamond"/>
          <w:sz w:val="24"/>
          <w:szCs w:val="24"/>
          <w:vertAlign w:val="superscript"/>
          <w:lang w:val="en-US"/>
        </w:rPr>
        <w:footnoteReference w:id="10"/>
      </w:r>
      <w:r w:rsidRPr="62480E29" w:rsidR="009B4098">
        <w:rPr>
          <w:rFonts w:ascii="EB Garamond" w:hAnsi="EB Garamond" w:eastAsia="EB Garamond" w:cs="EB Garamond"/>
          <w:sz w:val="24"/>
          <w:szCs w:val="24"/>
          <w:lang w:val="en-US"/>
        </w:rPr>
        <w:t xml:space="preserve"> Next, the report </w:t>
      </w:r>
      <w:r w:rsidRPr="62480E29" w:rsidR="009B4098">
        <w:rPr>
          <w:rFonts w:ascii="EB Garamond" w:hAnsi="EB Garamond" w:eastAsia="EB Garamond" w:cs="EB Garamond"/>
          <w:sz w:val="24"/>
          <w:szCs w:val="24"/>
          <w:lang w:val="en-US"/>
        </w:rPr>
        <w:t xml:space="preserve">identifies</w:t>
      </w:r>
      <w:r w:rsidRPr="62480E29" w:rsidR="009B4098">
        <w:rPr>
          <w:rFonts w:ascii="EB Garamond" w:hAnsi="EB Garamond" w:eastAsia="EB Garamond" w:cs="EB Garamond"/>
          <w:sz w:val="24"/>
          <w:szCs w:val="24"/>
          <w:lang w:val="en-US"/>
        </w:rPr>
        <w:t xml:space="preserve"> high and volatile energy prices as a key </w:t>
      </w:r>
      <w:r w:rsidRPr="62480E29" w:rsidR="009B4098">
        <w:rPr>
          <w:rFonts w:ascii="EB Garamond" w:hAnsi="EB Garamond" w:eastAsia="EB Garamond" w:cs="EB Garamond"/>
          <w:sz w:val="24"/>
          <w:szCs w:val="24"/>
          <w:lang w:val="en-US"/>
        </w:rPr>
        <w:t xml:space="preserve">challenge, and</w:t>
      </w:r>
      <w:r w:rsidRPr="62480E29" w:rsidR="009B4098">
        <w:rPr>
          <w:rFonts w:ascii="EB Garamond" w:hAnsi="EB Garamond" w:eastAsia="EB Garamond" w:cs="EB Garamond"/>
          <w:sz w:val="24"/>
          <w:szCs w:val="24"/>
          <w:lang w:val="en-US"/>
        </w:rPr>
        <w:t xml:space="preserve"> recommends a “Joint Roadmap for </w:t>
      </w:r>
      <w:r w:rsidRPr="62480E29" w:rsidR="009B4098">
        <w:rPr>
          <w:rFonts w:ascii="EB Garamond" w:hAnsi="EB Garamond" w:eastAsia="EB Garamond" w:cs="EB Garamond"/>
          <w:sz w:val="24"/>
          <w:szCs w:val="24"/>
          <w:lang w:val="en-US"/>
        </w:rPr>
        <w:t xml:space="preserve">Decarbonisation</w:t>
      </w:r>
      <w:r w:rsidRPr="62480E29" w:rsidR="009B4098">
        <w:rPr>
          <w:rFonts w:ascii="EB Garamond" w:hAnsi="EB Garamond" w:eastAsia="EB Garamond" w:cs="EB Garamond"/>
          <w:sz w:val="24"/>
          <w:szCs w:val="24"/>
          <w:lang w:val="en-US"/>
        </w:rPr>
        <w:t xml:space="preserve"> and Competitiveness” to make considerations for industry when designing anti-climate change measures. Where unemployment may have been the defining popular challenge of Delors’ time, driving emphasis on social protections and worker rights, anthropogenic climate change now plays a similar role, creating the political will to pursue carbon-neutrality and sustainable development</w:t>
      </w:r>
      <w:r w:rsidRPr="62480E29" w:rsidR="009B4098">
        <w:rPr>
          <w:rFonts w:ascii="EB Garamond" w:hAnsi="EB Garamond" w:eastAsia="EB Garamond" w:cs="EB Garamond"/>
          <w:sz w:val="24"/>
          <w:szCs w:val="24"/>
          <w:lang w:val="en-US"/>
        </w:rPr>
        <w:t xml:space="preserve">. Finally, the report recommends “Reducing Excessive Dependencies and Increasing Security” through diversifying external international </w:t>
      </w:r>
      <w:r w:rsidRPr="62480E29" w:rsidR="009B4098">
        <w:rPr>
          <w:rFonts w:ascii="EB Garamond" w:hAnsi="EB Garamond" w:eastAsia="EB Garamond" w:cs="EB Garamond"/>
          <w:sz w:val="24"/>
          <w:szCs w:val="24"/>
          <w:lang w:val="en-US"/>
        </w:rPr>
        <w:t>partnerships.</w:t>
      </w:r>
      <w:r w:rsidRPr="62480E29">
        <w:rPr>
          <w:rFonts w:ascii="EB Garamond" w:hAnsi="EB Garamond" w:eastAsia="EB Garamond" w:cs="EB Garamond"/>
          <w:sz w:val="24"/>
          <w:szCs w:val="24"/>
          <w:vertAlign w:val="superscript"/>
          <w:lang w:val="en-US"/>
        </w:rPr>
        <w:footnoteReference w:id="11"/>
      </w:r>
      <w:r w:rsidRPr="62480E29" w:rsidR="009B4098">
        <w:rPr>
          <w:rFonts w:ascii="EB Garamond" w:hAnsi="EB Garamond" w:eastAsia="EB Garamond" w:cs="EB Garamond"/>
          <w:sz w:val="24"/>
          <w:szCs w:val="24"/>
          <w:lang w:val="en-US"/>
        </w:rPr>
        <w:t xml:space="preserve"> Just as the Delors’ vision of a single European market was informed by contemporary trends in economic </w:t>
      </w:r>
      <w:r w:rsidRPr="62480E29" w:rsidR="009B4098">
        <w:rPr>
          <w:rFonts w:ascii="EB Garamond" w:hAnsi="EB Garamond" w:eastAsia="EB Garamond" w:cs="EB Garamond"/>
          <w:sz w:val="24"/>
          <w:szCs w:val="24"/>
          <w:lang w:val="en-US"/>
        </w:rPr>
        <w:t xml:space="preserve">globalisation</w:t>
      </w:r>
      <w:r w:rsidRPr="62480E29" w:rsidR="009B4098">
        <w:rPr>
          <w:rFonts w:ascii="EB Garamond" w:hAnsi="EB Garamond" w:eastAsia="EB Garamond" w:cs="EB Garamond"/>
          <w:sz w:val="24"/>
          <w:szCs w:val="24"/>
          <w:lang w:val="en-US"/>
        </w:rPr>
        <w:t xml:space="preserve">, the Draghi report’s emphasis on diversification reflects changes in the global trade landscape and intensifying economic multipolarity.</w:t>
      </w:r>
    </w:p>
    <w:p w:rsidR="003178F4" w:rsidP="62480E29" w:rsidRDefault="009B4098" w14:paraId="0000001B"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In response to the Draghi report, the Compass proposes a structured approach focusing on the three imperatives </w:t>
      </w:r>
      <w:r w:rsidRPr="62480E29" w:rsidR="009B4098">
        <w:rPr>
          <w:rFonts w:ascii="EB Garamond" w:hAnsi="EB Garamond" w:eastAsia="EB Garamond" w:cs="EB Garamond"/>
          <w:sz w:val="24"/>
          <w:szCs w:val="24"/>
          <w:lang w:val="en-US"/>
        </w:rPr>
        <w:t>identified</w:t>
      </w:r>
      <w:r w:rsidRPr="62480E29" w:rsidR="009B4098">
        <w:rPr>
          <w:rFonts w:ascii="EB Garamond" w:hAnsi="EB Garamond" w:eastAsia="EB Garamond" w:cs="EB Garamond"/>
          <w:sz w:val="24"/>
          <w:szCs w:val="24"/>
          <w:lang w:val="en-US"/>
        </w:rPr>
        <w:t xml:space="preserve"> in the Draghi report. On the innovation gap, despite holding a comparable share of global patents to the US and China, Europe significantly underperforms in commercializing these innovations. Only one-third of patents registered by EU universities reach the market. The Compass specifically seeks to remedy this by placing innovation at the center of its strategy and introducing measures l</w:t>
      </w:r>
      <w:r w:rsidRPr="62480E29" w:rsidR="009B4098">
        <w:rPr>
          <w:rFonts w:ascii="EB Garamond" w:hAnsi="EB Garamond" w:eastAsia="EB Garamond" w:cs="EB Garamond"/>
          <w:sz w:val="24"/>
          <w:szCs w:val="24"/>
          <w:lang w:val="en-US"/>
        </w:rPr>
        <w:t>ike the EU ‘Start-up and Scale-up Strategy’ and a streamlined regulatory framework, designed simplify complex rules around corporate governance, insolvency, labor, and taxation, thereby reducing the barriers for emerging companies encouraging the adoption of advanced technologies across industries.</w:t>
      </w:r>
      <w:r w:rsidRPr="62480E29">
        <w:rPr>
          <w:rFonts w:ascii="EB Garamond" w:hAnsi="EB Garamond" w:eastAsia="EB Garamond" w:cs="EB Garamond"/>
          <w:sz w:val="24"/>
          <w:szCs w:val="24"/>
          <w:vertAlign w:val="superscript"/>
          <w:lang w:val="en-US"/>
        </w:rPr>
        <w:footnoteReference w:id="12"/>
      </w:r>
    </w:p>
    <w:p w:rsidR="003178F4" w:rsidP="62480E29" w:rsidRDefault="009B4098" w14:paraId="0000001C"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Addressing energy challenges, the Compass emphasizes the strategic importance of securing Europe’s competitiveness through energy affordability and industrial sustainability. Given Europe's vulnerability to high and volatile energy prices—further </w:t>
      </w:r>
      <w:r w:rsidRPr="62480E29" w:rsidR="009B4098">
        <w:rPr>
          <w:rFonts w:ascii="EB Garamond" w:hAnsi="EB Garamond" w:eastAsia="EB Garamond" w:cs="EB Garamond"/>
          <w:sz w:val="24"/>
          <w:szCs w:val="24"/>
          <w:lang w:val="en-US"/>
        </w:rPr>
        <w:t>exacerbated</w:t>
      </w:r>
      <w:r w:rsidRPr="62480E29" w:rsidR="009B4098">
        <w:rPr>
          <w:rFonts w:ascii="EB Garamond" w:hAnsi="EB Garamond" w:eastAsia="EB Garamond" w:cs="EB Garamond"/>
          <w:sz w:val="24"/>
          <w:szCs w:val="24"/>
          <w:lang w:val="en-US"/>
        </w:rPr>
        <w:t xml:space="preserve"> by geopolitical tensions, notably Russia’s control and manipulation of energy supplies—the ‘Affordable Energy Action Plan’ </w:t>
      </w:r>
      <w:r w:rsidRPr="62480E29" w:rsidR="009B4098">
        <w:rPr>
          <w:rFonts w:ascii="EB Garamond" w:hAnsi="EB Garamond" w:eastAsia="EB Garamond" w:cs="EB Garamond"/>
          <w:sz w:val="24"/>
          <w:szCs w:val="24"/>
          <w:lang w:val="en-US"/>
        </w:rPr>
        <w:t>seeks</w:t>
      </w:r>
      <w:r w:rsidRPr="62480E29" w:rsidR="009B4098">
        <w:rPr>
          <w:rFonts w:ascii="EB Garamond" w:hAnsi="EB Garamond" w:eastAsia="EB Garamond" w:cs="EB Garamond"/>
          <w:sz w:val="24"/>
          <w:szCs w:val="24"/>
          <w:lang w:val="en-US"/>
        </w:rPr>
        <w:t xml:space="preserve"> to stabilize costs. In parallel, the Clean Industrial Deal prioritizes making Europe an attractive location for manufacturin</w:t>
      </w:r>
      <w:r w:rsidRPr="62480E29" w:rsidR="009B4098">
        <w:rPr>
          <w:rFonts w:ascii="EB Garamond" w:hAnsi="EB Garamond" w:eastAsia="EB Garamond" w:cs="EB Garamond"/>
          <w:sz w:val="24"/>
          <w:szCs w:val="24"/>
          <w:lang w:val="en-US"/>
        </w:rPr>
        <w:t>g, especially in energy-intensive sectors, through targeted support and streamlined regulatory processes.</w:t>
      </w:r>
    </w:p>
    <w:p w:rsidR="003178F4" w:rsidP="62480E29" w:rsidRDefault="009B4098" w14:paraId="0000001D"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The Compass also includes initiatives aimed at reducing external dependencies through international partnerships. Europe's expansive network of trade agreements, covering </w:t>
      </w:r>
      <w:r w:rsidRPr="62480E29" w:rsidR="009B4098">
        <w:rPr>
          <w:rFonts w:ascii="EB Garamond" w:hAnsi="EB Garamond" w:eastAsia="EB Garamond" w:cs="EB Garamond"/>
          <w:sz w:val="24"/>
          <w:szCs w:val="24"/>
          <w:lang w:val="en-US"/>
        </w:rPr>
        <w:t>approximately half</w:t>
      </w:r>
      <w:r w:rsidRPr="62480E29" w:rsidR="009B4098">
        <w:rPr>
          <w:rFonts w:ascii="EB Garamond" w:hAnsi="EB Garamond" w:eastAsia="EB Garamond" w:cs="EB Garamond"/>
          <w:sz w:val="24"/>
          <w:szCs w:val="24"/>
          <w:lang w:val="en-US"/>
        </w:rPr>
        <w:t xml:space="preserve"> of its external trade, will be </w:t>
      </w:r>
      <w:r w:rsidRPr="62480E29" w:rsidR="009B4098">
        <w:rPr>
          <w:rFonts w:ascii="EB Garamond" w:hAnsi="EB Garamond" w:eastAsia="EB Garamond" w:cs="EB Garamond"/>
          <w:sz w:val="24"/>
          <w:szCs w:val="24"/>
          <w:lang w:val="en-US"/>
        </w:rPr>
        <w:t>leveraged</w:t>
      </w:r>
      <w:r w:rsidRPr="62480E29" w:rsidR="009B4098">
        <w:rPr>
          <w:rFonts w:ascii="EB Garamond" w:hAnsi="EB Garamond" w:eastAsia="EB Garamond" w:cs="EB Garamond"/>
          <w:sz w:val="24"/>
          <w:szCs w:val="24"/>
          <w:lang w:val="en-US"/>
        </w:rPr>
        <w:t xml:space="preserve"> further through new Clean Trade and Investment Partnerships. These partnerships aim to secure critical resources globally, reinforcing Europe’s economic resilience and autonomy in sectors essential for future competitiveness, such as clean technologies and sustainable transport fu</w:t>
      </w:r>
      <w:r w:rsidRPr="62480E29" w:rsidR="009B4098">
        <w:rPr>
          <w:rFonts w:ascii="EB Garamond" w:hAnsi="EB Garamond" w:eastAsia="EB Garamond" w:cs="EB Garamond"/>
          <w:sz w:val="24"/>
          <w:szCs w:val="24"/>
          <w:lang w:val="en-US"/>
        </w:rPr>
        <w:t>els. It also suggests revisions to public procurement rules to introduce a "European preference" for critical sectors and technologies.</w:t>
      </w:r>
    </w:p>
    <w:p w:rsidR="003178F4" w:rsidP="62480E29" w:rsidRDefault="009B4098" w14:paraId="0000001E"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“Horizontal enabling measures” are equally </w:t>
      </w:r>
      <w:r w:rsidRPr="62480E29" w:rsidR="009B4098">
        <w:rPr>
          <w:rFonts w:ascii="EB Garamond" w:hAnsi="EB Garamond" w:eastAsia="EB Garamond" w:cs="EB Garamond"/>
          <w:sz w:val="24"/>
          <w:szCs w:val="24"/>
          <w:lang w:val="en-US"/>
        </w:rPr>
        <w:t>prioritized.</w:t>
      </w:r>
      <w:r w:rsidRPr="62480E29">
        <w:rPr>
          <w:rFonts w:ascii="EB Garamond" w:hAnsi="EB Garamond" w:eastAsia="EB Garamond" w:cs="EB Garamond"/>
          <w:sz w:val="24"/>
          <w:szCs w:val="24"/>
          <w:vertAlign w:val="superscript"/>
          <w:lang w:val="en-US"/>
        </w:rPr>
        <w:footnoteReference w:id="13"/>
      </w:r>
      <w:r w:rsidRPr="62480E29" w:rsidR="009B4098">
        <w:rPr>
          <w:rFonts w:ascii="EB Garamond" w:hAnsi="EB Garamond" w:eastAsia="EB Garamond" w:cs="EB Garamond"/>
          <w:sz w:val="24"/>
          <w:szCs w:val="24"/>
          <w:lang w:val="en-US"/>
        </w:rPr>
        <w:t xml:space="preserve"> The Compass includes a significant simplification initiative, aiming to drastically reduce regulatory and administrative burdens on the EU level, thus making Europe more attractive for business and capital. Additionally, it emphasized deeper integration of the Single Market and proposed a European Savings and Investments Union to mobilize capital efficiently within Europe.</w:t>
      </w:r>
    </w:p>
    <w:p w:rsidR="003178F4" w:rsidRDefault="009B4098" w14:paraId="0000001F"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 xml:space="preserve">Broadly, the 2025 Competitiveness Compass has been popular, receiving support for its focus on revitalizing European innovation and productivity and tackling longstanding structural issues, such as the productivity and innovation gap between the EU and major global competitors like the United States and China. Europe’s productivity and innovation has notably lagged, with per capita GDP growth significantly trailing these peers over the last two decades. While in the Delors’ era, the US’ heavily-invested-in </w:t>
      </w:r>
      <w:r>
        <w:rPr>
          <w:rFonts w:ascii="EB Garamond" w:hAnsi="EB Garamond" w:eastAsia="EB Garamond" w:cs="EB Garamond"/>
          <w:sz w:val="24"/>
          <w:szCs w:val="24"/>
        </w:rPr>
        <w:t>innovation economy would cement US economic prominence, European technological innovation has continued to struggle.</w:t>
      </w:r>
    </w:p>
    <w:p w:rsidR="003178F4" w:rsidP="62480E29" w:rsidRDefault="009B4098" w14:paraId="00000020"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The Compass’s horizontal measures have the potential to </w:t>
      </w:r>
      <w:r w:rsidRPr="62480E29" w:rsidR="009B4098">
        <w:rPr>
          <w:rFonts w:ascii="EB Garamond" w:hAnsi="EB Garamond" w:eastAsia="EB Garamond" w:cs="EB Garamond"/>
          <w:sz w:val="24"/>
          <w:szCs w:val="24"/>
          <w:lang w:val="en-US"/>
        </w:rPr>
        <w:t>greatly boost</w:t>
      </w:r>
      <w:r w:rsidRPr="62480E29" w:rsidR="009B4098">
        <w:rPr>
          <w:rFonts w:ascii="EB Garamond" w:hAnsi="EB Garamond" w:eastAsia="EB Garamond" w:cs="EB Garamond"/>
          <w:sz w:val="24"/>
          <w:szCs w:val="24"/>
          <w:lang w:val="en-US"/>
        </w:rPr>
        <w:t xml:space="preserve"> European economic output. Its ambitious goals—such as cutting administrative burdens by 25% generally and by 35% for SMEs—try to tear down one of the most frequent barriers to investment and growth identified by European businesses.</w:t>
      </w:r>
      <w:r w:rsidRPr="62480E29">
        <w:rPr>
          <w:rFonts w:ascii="EB Garamond" w:hAnsi="EB Garamond" w:eastAsia="EB Garamond" w:cs="EB Garamond"/>
          <w:sz w:val="24"/>
          <w:szCs w:val="24"/>
          <w:vertAlign w:val="superscript"/>
          <w:lang w:val="en-US"/>
        </w:rPr>
        <w:footnoteReference w:id="14"/>
      </w:r>
      <w:r w:rsidRPr="62480E29" w:rsidR="009B4098">
        <w:rPr>
          <w:rFonts w:ascii="EB Garamond" w:hAnsi="EB Garamond" w:eastAsia="EB Garamond" w:cs="EB Garamond"/>
          <w:sz w:val="24"/>
          <w:szCs w:val="24"/>
          <w:lang w:val="en-US"/>
        </w:rPr>
        <w:t xml:space="preserve"> Coupled with efforts to modernize and fully realize Delors’ dream of the Single Market, these new measures are designed to attract both domestic and foreign investments, streamline economic interactions, and facilitate innovation at scale.</w:t>
      </w:r>
    </w:p>
    <w:p w:rsidR="003178F4" w:rsidP="62480E29" w:rsidRDefault="009B4098" w14:paraId="00000021"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The 2025 Competitiveness Compass </w:t>
      </w:r>
      <w:r w:rsidRPr="62480E29" w:rsidR="009B4098">
        <w:rPr>
          <w:rFonts w:ascii="EB Garamond" w:hAnsi="EB Garamond" w:eastAsia="EB Garamond" w:cs="EB Garamond"/>
          <w:sz w:val="24"/>
          <w:szCs w:val="24"/>
          <w:lang w:val="en-US"/>
        </w:rPr>
        <w:t>represents</w:t>
      </w:r>
      <w:r w:rsidRPr="62480E29" w:rsidR="009B4098">
        <w:rPr>
          <w:rFonts w:ascii="EB Garamond" w:hAnsi="EB Garamond" w:eastAsia="EB Garamond" w:cs="EB Garamond"/>
          <w:sz w:val="24"/>
          <w:szCs w:val="24"/>
          <w:lang w:val="en-US"/>
        </w:rPr>
        <w:t xml:space="preserve"> a robust, data-backed strategy that </w:t>
      </w:r>
      <w:r w:rsidRPr="62480E29" w:rsidR="009B4098">
        <w:rPr>
          <w:rFonts w:ascii="EB Garamond" w:hAnsi="EB Garamond" w:eastAsia="EB Garamond" w:cs="EB Garamond"/>
          <w:sz w:val="24"/>
          <w:szCs w:val="24"/>
          <w:lang w:val="en-US"/>
        </w:rPr>
        <w:t>attempts</w:t>
      </w:r>
      <w:r w:rsidRPr="62480E29" w:rsidR="009B4098">
        <w:rPr>
          <w:rFonts w:ascii="EB Garamond" w:hAnsi="EB Garamond" w:eastAsia="EB Garamond" w:cs="EB Garamond"/>
          <w:sz w:val="24"/>
          <w:szCs w:val="24"/>
          <w:lang w:val="en-US"/>
        </w:rPr>
        <w:t xml:space="preserve"> to tackle specific structural weaknesses within Europe's economic system. By systematically reducing regulatory complexities, supporting innovative enterprises, and promoting industrial competitiveness, the Compass </w:t>
      </w:r>
      <w:r w:rsidRPr="62480E29" w:rsidR="009B4098">
        <w:rPr>
          <w:rFonts w:ascii="EB Garamond" w:hAnsi="EB Garamond" w:eastAsia="EB Garamond" w:cs="EB Garamond"/>
          <w:sz w:val="24"/>
          <w:szCs w:val="24"/>
          <w:lang w:val="en-US"/>
        </w:rPr>
        <w:t>seeks</w:t>
      </w:r>
      <w:r w:rsidRPr="62480E29" w:rsidR="009B4098">
        <w:rPr>
          <w:rFonts w:ascii="EB Garamond" w:hAnsi="EB Garamond" w:eastAsia="EB Garamond" w:cs="EB Garamond"/>
          <w:sz w:val="24"/>
          <w:szCs w:val="24"/>
          <w:lang w:val="en-US"/>
        </w:rPr>
        <w:t xml:space="preserve"> to secure economic prosperity for Europe in a rapidly evolving global economic landscape.</w:t>
      </w:r>
    </w:p>
    <w:p w:rsidR="003178F4" w:rsidRDefault="009B4098" w14:paraId="00000022"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However, the new economic vision articulated in this new Competitiveness Compass has drawn significant criticism, often from those who view it as a departure from Jacques Delors’ foundational vision of embedded social protections. Critics argue that the Compass’s emphasis on deregulation and administrative simplification marks a fundamental shift toward market-driven efficiency that risks undermining the EU’s longstanding commitments to sustainability, social rights, and equity.</w:t>
      </w:r>
    </w:p>
    <w:p w:rsidR="003178F4" w:rsidRDefault="009B4098" w14:paraId="00000023"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Alberto Alemanno, among others, has highlighted what he terms the "dark side of EU deregulation," noting that the current direction mirrors certain aspects of neoliberal policies from across the Atlantic, which Delors originally sought to counteract.</w:t>
      </w:r>
      <w:r>
        <w:rPr>
          <w:rFonts w:ascii="EB Garamond" w:hAnsi="EB Garamond" w:eastAsia="EB Garamond" w:cs="EB Garamond"/>
          <w:sz w:val="24"/>
          <w:szCs w:val="24"/>
          <w:vertAlign w:val="superscript"/>
        </w:rPr>
        <w:footnoteReference w:id="15"/>
      </w:r>
      <w:r>
        <w:rPr>
          <w:rFonts w:ascii="EB Garamond" w:hAnsi="EB Garamond" w:eastAsia="EB Garamond" w:cs="EB Garamond"/>
          <w:sz w:val="24"/>
          <w:szCs w:val="24"/>
        </w:rPr>
        <w:t xml:space="preserve"> Alemanno emphasizes that von der Leyen’s Commission has distanced itself from the European Green Deal, a hallmark of sustainability-oriented governance that initially helped secure her presidency. The Competitiveness Compass reliance on omnibus proposals are particularly of concern, bundling multiple significant regulatory rollbacks—such as the Corporate Sustainability Reporting Directive and the Corporate Sustainability Due Diligence Directive—into single legislative packages which are then "fast-tracked </w:t>
      </w:r>
      <w:r>
        <w:rPr>
          <w:rFonts w:ascii="EB Garamond" w:hAnsi="EB Garamond" w:eastAsia="EB Garamond" w:cs="EB Garamond"/>
          <w:sz w:val="24"/>
          <w:szCs w:val="24"/>
        </w:rPr>
        <w:t>with little or no public input".</w:t>
      </w:r>
      <w:r>
        <w:rPr>
          <w:rFonts w:ascii="EB Garamond" w:hAnsi="EB Garamond" w:eastAsia="EB Garamond" w:cs="EB Garamond"/>
          <w:sz w:val="24"/>
          <w:szCs w:val="24"/>
          <w:vertAlign w:val="superscript"/>
        </w:rPr>
        <w:footnoteReference w:id="16"/>
      </w:r>
      <w:r>
        <w:rPr>
          <w:rFonts w:ascii="EB Garamond" w:hAnsi="EB Garamond" w:eastAsia="EB Garamond" w:cs="EB Garamond"/>
          <w:sz w:val="24"/>
          <w:szCs w:val="24"/>
        </w:rPr>
        <w:t xml:space="preserve"> Alemanno warns that these omnibus measures represent a "sweeping and systematic overhaul" to EU governance that could threaten frameworks essential for sustainable development before their benefits can be fully realized. This trend towards the use of omnibus proposals significantly diverges from the gradualist approach advocated by Delors where steady progress and consultation with all sectors of society are emphasized.</w:t>
      </w:r>
    </w:p>
    <w:p w:rsidR="003178F4" w:rsidP="62480E29" w:rsidRDefault="009B4098" w14:paraId="00000024"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Other organizations such as Corporate Europe Observatory raise alarms over the substantial influence corporate lobbying has had in shaping the Competitiveness Compass. Critics also point out that Mario Draghi’s report disproportionately </w:t>
      </w:r>
      <w:r w:rsidRPr="62480E29" w:rsidR="009B4098">
        <w:rPr>
          <w:rFonts w:ascii="EB Garamond" w:hAnsi="EB Garamond" w:eastAsia="EB Garamond" w:cs="EB Garamond"/>
          <w:sz w:val="24"/>
          <w:szCs w:val="24"/>
          <w:lang w:val="en-US"/>
        </w:rPr>
        <w:t>represents</w:t>
      </w:r>
      <w:r w:rsidRPr="62480E29" w:rsidR="009B4098">
        <w:rPr>
          <w:rFonts w:ascii="EB Garamond" w:hAnsi="EB Garamond" w:eastAsia="EB Garamond" w:cs="EB Garamond"/>
          <w:sz w:val="24"/>
          <w:szCs w:val="24"/>
          <w:lang w:val="en-US"/>
        </w:rPr>
        <w:t xml:space="preserve"> corporate and financial voices. They argue that von der Leyen’s deregulation agenda </w:t>
      </w:r>
      <w:r w:rsidRPr="62480E29" w:rsidR="009B4098">
        <w:rPr>
          <w:rFonts w:ascii="EB Garamond" w:hAnsi="EB Garamond" w:eastAsia="EB Garamond" w:cs="EB Garamond"/>
          <w:sz w:val="24"/>
          <w:szCs w:val="24"/>
          <w:lang w:val="en-US"/>
        </w:rPr>
        <w:t>provides unprecedented opportunities for corporate interests</w:t>
      </w:r>
      <w:r w:rsidRPr="62480E29" w:rsidR="009B4098">
        <w:rPr>
          <w:rFonts w:ascii="EB Garamond" w:hAnsi="EB Garamond" w:eastAsia="EB Garamond" w:cs="EB Garamond"/>
          <w:sz w:val="24"/>
          <w:szCs w:val="24"/>
          <w:lang w:val="en-US"/>
        </w:rPr>
        <w:t xml:space="preserve"> to dilute social and environmental standards embedded in existing EU laws. This is seen as a stark contrast to Delors’ </w:t>
      </w:r>
      <w:r w:rsidRPr="62480E29" w:rsidR="009B4098">
        <w:rPr>
          <w:rFonts w:ascii="EB Garamond" w:hAnsi="EB Garamond" w:eastAsia="EB Garamond" w:cs="EB Garamond"/>
          <w:sz w:val="24"/>
          <w:szCs w:val="24"/>
          <w:lang w:val="en-US"/>
        </w:rPr>
        <w:t>model, which viewed structured social dialogue involving all stakeholders as central to ensuring balanced economic development.</w:t>
      </w:r>
    </w:p>
    <w:p w:rsidR="003178F4" w:rsidP="62480E29" w:rsidRDefault="009B4098" w14:paraId="00000025"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The implications of such deregulation extend beyond social and environmental issues. Excessive simplification and deregulation could undermine legal predictability and certainty—principles necessary for businesses to invest confidently in Europe. For example, European green investments </w:t>
      </w:r>
      <w:r w:rsidRPr="62480E29" w:rsidR="009B4098">
        <w:rPr>
          <w:rFonts w:ascii="EB Garamond" w:hAnsi="EB Garamond" w:eastAsia="EB Garamond" w:cs="EB Garamond"/>
          <w:sz w:val="24"/>
          <w:szCs w:val="24"/>
          <w:lang w:val="en-US"/>
        </w:rPr>
        <w:t>reportedly fell</w:t>
      </w:r>
      <w:r w:rsidRPr="62480E29" w:rsidR="009B4098">
        <w:rPr>
          <w:rFonts w:ascii="EB Garamond" w:hAnsi="EB Garamond" w:eastAsia="EB Garamond" w:cs="EB Garamond"/>
          <w:sz w:val="24"/>
          <w:szCs w:val="24"/>
          <w:lang w:val="en-US"/>
        </w:rPr>
        <w:t xml:space="preserve"> by 6.5% in 2024, a decline attributed partly to uncertainties created by proposed regulatory </w:t>
      </w:r>
      <w:r w:rsidRPr="62480E29" w:rsidR="009B4098">
        <w:rPr>
          <w:rFonts w:ascii="EB Garamond" w:hAnsi="EB Garamond" w:eastAsia="EB Garamond" w:cs="EB Garamond"/>
          <w:sz w:val="24"/>
          <w:szCs w:val="24"/>
          <w:lang w:val="en-US"/>
        </w:rPr>
        <w:t>rollbacks.</w:t>
      </w:r>
      <w:r w:rsidRPr="62480E29">
        <w:rPr>
          <w:rFonts w:ascii="EB Garamond" w:hAnsi="EB Garamond" w:eastAsia="EB Garamond" w:cs="EB Garamond"/>
          <w:sz w:val="24"/>
          <w:szCs w:val="24"/>
          <w:vertAlign w:val="superscript"/>
          <w:lang w:val="en-US"/>
        </w:rPr>
        <w:footnoteReference w:id="17"/>
      </w:r>
      <w:r w:rsidRPr="62480E29" w:rsidR="009B4098">
        <w:rPr>
          <w:rFonts w:ascii="EB Garamond" w:hAnsi="EB Garamond" w:eastAsia="EB Garamond" w:cs="EB Garamond"/>
          <w:sz w:val="24"/>
          <w:szCs w:val="24"/>
          <w:lang w:val="en-US"/>
        </w:rPr>
        <w:t xml:space="preserve"> Such outcomes suggest that instead of enhancing competitiveness through deregulation, the Compass might instead erode Europe’s attractiveness as a stable investment destination.</w:t>
      </w:r>
    </w:p>
    <w:p w:rsidR="003178F4" w:rsidP="62480E29" w:rsidRDefault="009B4098" w14:paraId="00000026"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Additionally, the "European preference" in public procurement rules promoted by the Compass has faced scrutiny as potentially protectionist and incompatible with Delors’ vision of balanced integration. While Delors advocated for policies that supported regional cohesion and social protections to distribute the benefits of integration equitably, current proposals risk </w:t>
      </w:r>
      <w:r w:rsidRPr="62480E29" w:rsidR="009B4098">
        <w:rPr>
          <w:rFonts w:ascii="EB Garamond" w:hAnsi="EB Garamond" w:eastAsia="EB Garamond" w:cs="EB Garamond"/>
          <w:sz w:val="24"/>
          <w:szCs w:val="24"/>
          <w:lang w:val="en-US"/>
        </w:rPr>
        <w:t>exacerbating</w:t>
      </w:r>
      <w:r w:rsidRPr="62480E29" w:rsidR="009B4098">
        <w:rPr>
          <w:rFonts w:ascii="EB Garamond" w:hAnsi="EB Garamond" w:eastAsia="EB Garamond" w:cs="EB Garamond"/>
          <w:sz w:val="24"/>
          <w:szCs w:val="24"/>
          <w:lang w:val="en-US"/>
        </w:rPr>
        <w:t xml:space="preserve"> regional inequalities by disproportionately benefiting wealthier and more industrialized areas within Europe.</w:t>
      </w:r>
    </w:p>
    <w:p w:rsidR="003178F4" w:rsidP="62480E29" w:rsidRDefault="009B4098" w14:paraId="00000027" w14:textId="77777777">
      <w:pPr>
        <w:spacing w:line="480" w:lineRule="auto"/>
        <w:rPr>
          <w:rFonts w:ascii="EB Garamond" w:hAnsi="EB Garamond" w:eastAsia="EB Garamond" w:cs="EB Garamond"/>
          <w:sz w:val="24"/>
          <w:szCs w:val="24"/>
          <w:lang w:val="en-US"/>
        </w:rPr>
      </w:pPr>
      <w:r>
        <w:rPr>
          <w:rFonts w:ascii="EB Garamond" w:hAnsi="EB Garamond" w:eastAsia="EB Garamond" w:cs="EB Garamond"/>
          <w:sz w:val="24"/>
          <w:szCs w:val="24"/>
        </w:rPr>
        <w:tab/>
      </w:r>
      <w:r w:rsidRPr="62480E29" w:rsidR="009B4098">
        <w:rPr>
          <w:rFonts w:ascii="EB Garamond" w:hAnsi="EB Garamond" w:eastAsia="EB Garamond" w:cs="EB Garamond"/>
          <w:sz w:val="24"/>
          <w:szCs w:val="24"/>
          <w:lang w:val="en-US"/>
        </w:rPr>
        <w:t xml:space="preserve">In 1988, Delors articulated principles to ensure new economic policy would not infringe on social protections. It was </w:t>
      </w:r>
      <w:r w:rsidRPr="62480E29" w:rsidR="009B4098">
        <w:rPr>
          <w:rFonts w:ascii="EB Garamond" w:hAnsi="EB Garamond" w:eastAsia="EB Garamond" w:cs="EB Garamond"/>
          <w:sz w:val="24"/>
          <w:szCs w:val="24"/>
          <w:lang w:val="en-US"/>
        </w:rPr>
        <w:t>stated</w:t>
      </w:r>
      <w:r w:rsidRPr="62480E29" w:rsidR="009B4098">
        <w:rPr>
          <w:rFonts w:ascii="EB Garamond" w:hAnsi="EB Garamond" w:eastAsia="EB Garamond" w:cs="EB Garamond"/>
          <w:sz w:val="24"/>
          <w:szCs w:val="24"/>
          <w:lang w:val="en-US"/>
        </w:rPr>
        <w:t xml:space="preserve"> that “measures… should not diminish the level of social protection already achieved</w:t>
      </w:r>
      <w:r w:rsidRPr="62480E29" w:rsidR="009B4098">
        <w:rPr>
          <w:rFonts w:ascii="EB Garamond" w:hAnsi="EB Garamond" w:eastAsia="EB Garamond" w:cs="EB Garamond"/>
          <w:sz w:val="24"/>
          <w:szCs w:val="24"/>
          <w:lang w:val="en-US"/>
        </w:rPr>
        <w:t>”.</w:t>
      </w:r>
      <w:r w:rsidRPr="62480E29" w:rsidR="009B4098">
        <w:rPr>
          <w:rFonts w:ascii="EB Garamond" w:hAnsi="EB Garamond" w:eastAsia="EB Garamond" w:cs="EB Garamond"/>
          <w:sz w:val="24"/>
          <w:szCs w:val="24"/>
          <w:lang w:val="en-US"/>
        </w:rPr>
        <w:t xml:space="preserve"> In addition, economic structures “should be designed to benefit each and every citizen of the Community”.</w:t>
      </w:r>
      <w:r w:rsidRPr="62480E29">
        <w:rPr>
          <w:rFonts w:ascii="EB Garamond" w:hAnsi="EB Garamond" w:eastAsia="EB Garamond" w:cs="EB Garamond"/>
          <w:sz w:val="24"/>
          <w:szCs w:val="24"/>
          <w:vertAlign w:val="superscript"/>
          <w:lang w:val="en-US"/>
        </w:rPr>
        <w:footnoteReference w:id="18"/>
      </w:r>
      <w:r w:rsidRPr="62480E29" w:rsidR="009B4098">
        <w:rPr>
          <w:rFonts w:ascii="EB Garamond" w:hAnsi="EB Garamond" w:eastAsia="EB Garamond" w:cs="EB Garamond"/>
          <w:sz w:val="24"/>
          <w:szCs w:val="24"/>
          <w:lang w:val="en-US"/>
        </w:rPr>
        <w:t xml:space="preserve"> The Compass’ use as a means to roll back existing protective legislation clearly violates the first principle, and the Compass’ emergence as a result of selective and disproportionate consultative process is out of accord with the second principle.</w:t>
      </w:r>
    </w:p>
    <w:p w:rsidR="003178F4" w:rsidRDefault="003178F4" w14:paraId="00000028" w14:textId="77777777">
      <w:pPr>
        <w:spacing w:line="480" w:lineRule="auto"/>
        <w:rPr>
          <w:rFonts w:ascii="EB Garamond" w:hAnsi="EB Garamond" w:eastAsia="EB Garamond" w:cs="EB Garamond"/>
          <w:sz w:val="24"/>
          <w:szCs w:val="24"/>
        </w:rPr>
      </w:pPr>
    </w:p>
    <w:p w:rsidR="003178F4" w:rsidRDefault="009B4098" w14:paraId="00000029" w14:textId="77777777">
      <w:pPr>
        <w:spacing w:line="480" w:lineRule="auto"/>
        <w:rPr>
          <w:rFonts w:ascii="EB Garamond" w:hAnsi="EB Garamond" w:eastAsia="EB Garamond" w:cs="EB Garamond"/>
          <w:b/>
          <w:sz w:val="24"/>
          <w:szCs w:val="24"/>
        </w:rPr>
      </w:pPr>
      <w:r>
        <w:rPr>
          <w:rFonts w:ascii="EB Garamond" w:hAnsi="EB Garamond" w:eastAsia="EB Garamond" w:cs="EB Garamond"/>
          <w:b/>
          <w:sz w:val="24"/>
          <w:szCs w:val="24"/>
        </w:rPr>
        <w:t>Competitiveness vs Society:</w:t>
      </w:r>
    </w:p>
    <w:p w:rsidR="003178F4" w:rsidP="62480E29" w:rsidRDefault="009B4098" w14:paraId="0000002A"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The contrast between Delors’ outward rejection of extra‑European templates and von der Leyen’s selective importation of them is more than stylistic; it speaks to competing theories of what </w:t>
      </w:r>
      <w:r w:rsidRPr="62480E29" w:rsidR="009B4098">
        <w:rPr>
          <w:rFonts w:ascii="EB Garamond" w:hAnsi="EB Garamond" w:eastAsia="EB Garamond" w:cs="EB Garamond"/>
          <w:sz w:val="24"/>
          <w:szCs w:val="24"/>
          <w:lang w:val="en-US"/>
        </w:rPr>
        <w:t>legitimises</w:t>
      </w:r>
      <w:r w:rsidRPr="62480E29" w:rsidR="009B4098">
        <w:rPr>
          <w:rFonts w:ascii="EB Garamond" w:hAnsi="EB Garamond" w:eastAsia="EB Garamond" w:cs="EB Garamond"/>
          <w:sz w:val="24"/>
          <w:szCs w:val="24"/>
          <w:lang w:val="en-US"/>
        </w:rPr>
        <w:t xml:space="preserve"> European integration. For Delors, legitimacy derived from </w:t>
      </w:r>
      <w:r w:rsidRPr="62480E29" w:rsidR="009B4098">
        <w:rPr>
          <w:rFonts w:ascii="EB Garamond" w:hAnsi="EB Garamond" w:eastAsia="EB Garamond" w:cs="EB Garamond"/>
          <w:sz w:val="24"/>
          <w:szCs w:val="24"/>
          <w:lang w:val="en-US"/>
        </w:rPr>
        <w:t>demonstrating</w:t>
      </w:r>
      <w:r w:rsidRPr="62480E29" w:rsidR="009B4098">
        <w:rPr>
          <w:rFonts w:ascii="EB Garamond" w:hAnsi="EB Garamond" w:eastAsia="EB Garamond" w:cs="EB Garamond"/>
          <w:sz w:val="24"/>
          <w:szCs w:val="24"/>
          <w:lang w:val="en-US"/>
        </w:rPr>
        <w:t xml:space="preserve"> that market opening could advance a distinct social compact, different from both the American laissez‑faire ethos and the Japanese developmental state. By contrast, the Compass treats competitiveness as an </w:t>
      </w:r>
      <w:r w:rsidRPr="62480E29" w:rsidR="009B4098">
        <w:rPr>
          <w:rFonts w:ascii="EB Garamond" w:hAnsi="EB Garamond" w:eastAsia="EB Garamond" w:cs="EB Garamond"/>
          <w:sz w:val="24"/>
          <w:szCs w:val="24"/>
          <w:lang w:val="en-US"/>
        </w:rPr>
        <w:t>essentially technical</w:t>
      </w:r>
      <w:r w:rsidRPr="62480E29" w:rsidR="009B4098">
        <w:rPr>
          <w:rFonts w:ascii="EB Garamond" w:hAnsi="EB Garamond" w:eastAsia="EB Garamond" w:cs="EB Garamond"/>
          <w:sz w:val="24"/>
          <w:szCs w:val="24"/>
          <w:lang w:val="en-US"/>
        </w:rPr>
        <w:t xml:space="preserve"> exercise, m</w:t>
      </w:r>
      <w:r w:rsidRPr="62480E29" w:rsidR="009B4098">
        <w:rPr>
          <w:rFonts w:ascii="EB Garamond" w:hAnsi="EB Garamond" w:eastAsia="EB Garamond" w:cs="EB Garamond"/>
          <w:sz w:val="24"/>
          <w:szCs w:val="24"/>
          <w:lang w:val="en-US"/>
        </w:rPr>
        <w:t xml:space="preserve">easurable in global rankings and FDI inflows, even if that means diluting hard‑won directives on workplace safety, collective </w:t>
      </w:r>
      <w:r w:rsidRPr="62480E29" w:rsidR="009B4098">
        <w:rPr>
          <w:rFonts w:ascii="EB Garamond" w:hAnsi="EB Garamond" w:eastAsia="EB Garamond" w:cs="EB Garamond"/>
          <w:sz w:val="24"/>
          <w:szCs w:val="24"/>
          <w:lang w:val="en-US"/>
        </w:rPr>
        <w:t>bargaining</w:t>
      </w:r>
      <w:r w:rsidRPr="62480E29" w:rsidR="009B4098">
        <w:rPr>
          <w:rFonts w:ascii="EB Garamond" w:hAnsi="EB Garamond" w:eastAsia="EB Garamond" w:cs="EB Garamond"/>
          <w:sz w:val="24"/>
          <w:szCs w:val="24"/>
          <w:lang w:val="en-US"/>
        </w:rPr>
        <w:t xml:space="preserve"> or environmental stewardship.</w:t>
      </w:r>
    </w:p>
    <w:p w:rsidR="003178F4" w:rsidRDefault="003178F4" w14:paraId="0000002B" w14:textId="77777777">
      <w:pPr>
        <w:spacing w:line="480" w:lineRule="auto"/>
        <w:rPr>
          <w:rFonts w:ascii="EB Garamond" w:hAnsi="EB Garamond" w:eastAsia="EB Garamond" w:cs="EB Garamond"/>
          <w:sz w:val="24"/>
          <w:szCs w:val="24"/>
        </w:rPr>
      </w:pPr>
    </w:p>
    <w:p w:rsidR="003178F4" w:rsidRDefault="009B4098" w14:paraId="0000002C" w14:textId="77777777">
      <w:pPr>
        <w:spacing w:line="480" w:lineRule="auto"/>
        <w:rPr>
          <w:rFonts w:ascii="EB Garamond" w:hAnsi="EB Garamond" w:eastAsia="EB Garamond" w:cs="EB Garamond"/>
          <w:b/>
          <w:sz w:val="24"/>
          <w:szCs w:val="24"/>
        </w:rPr>
      </w:pPr>
      <w:r>
        <w:rPr>
          <w:rFonts w:ascii="EB Garamond" w:hAnsi="EB Garamond" w:eastAsia="EB Garamond" w:cs="EB Garamond"/>
          <w:b/>
          <w:sz w:val="24"/>
          <w:szCs w:val="24"/>
        </w:rPr>
        <w:t>Conclusion:</w:t>
      </w:r>
    </w:p>
    <w:p w:rsidR="003178F4" w:rsidRDefault="003178F4" w14:paraId="0000002D" w14:textId="77777777">
      <w:pPr>
        <w:spacing w:line="480" w:lineRule="auto"/>
        <w:ind w:firstLine="720"/>
        <w:rPr>
          <w:rFonts w:ascii="EB Garamond" w:hAnsi="EB Garamond" w:eastAsia="EB Garamond" w:cs="EB Garamond"/>
          <w:sz w:val="24"/>
          <w:szCs w:val="24"/>
        </w:rPr>
      </w:pPr>
    </w:p>
    <w:p w:rsidR="003178F4" w:rsidP="62480E29" w:rsidRDefault="009B4098" w14:paraId="0000002E"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The 2025 Competitiveness Compass is, without question, the most comprehensive supply‑side package introduced at EU level since the Single Market </w:t>
      </w:r>
      <w:r w:rsidRPr="62480E29" w:rsidR="009B4098">
        <w:rPr>
          <w:rFonts w:ascii="EB Garamond" w:hAnsi="EB Garamond" w:eastAsia="EB Garamond" w:cs="EB Garamond"/>
          <w:sz w:val="24"/>
          <w:szCs w:val="24"/>
          <w:lang w:val="en-US"/>
        </w:rPr>
        <w:t>Programme</w:t>
      </w:r>
      <w:r w:rsidRPr="62480E29" w:rsidR="009B4098">
        <w:rPr>
          <w:rFonts w:ascii="EB Garamond" w:hAnsi="EB Garamond" w:eastAsia="EB Garamond" w:cs="EB Garamond"/>
          <w:sz w:val="24"/>
          <w:szCs w:val="24"/>
          <w:lang w:val="en-US"/>
        </w:rPr>
        <w:t xml:space="preserve">. It targets genuine bottlenecks in energy, </w:t>
      </w:r>
      <w:r w:rsidRPr="62480E29" w:rsidR="009B4098">
        <w:rPr>
          <w:rFonts w:ascii="EB Garamond" w:hAnsi="EB Garamond" w:eastAsia="EB Garamond" w:cs="EB Garamond"/>
          <w:sz w:val="24"/>
          <w:szCs w:val="24"/>
          <w:lang w:val="en-US"/>
        </w:rPr>
        <w:t>innovation</w:t>
      </w:r>
      <w:r w:rsidRPr="62480E29" w:rsidR="009B4098">
        <w:rPr>
          <w:rFonts w:ascii="EB Garamond" w:hAnsi="EB Garamond" w:eastAsia="EB Garamond" w:cs="EB Garamond"/>
          <w:sz w:val="24"/>
          <w:szCs w:val="24"/>
          <w:lang w:val="en-US"/>
        </w:rPr>
        <w:t xml:space="preserve"> and capital formation. Addressing these vital challenges, the Compass has </w:t>
      </w:r>
      <w:r w:rsidRPr="62480E29" w:rsidR="009B4098">
        <w:rPr>
          <w:rFonts w:ascii="EB Garamond" w:hAnsi="EB Garamond" w:eastAsia="EB Garamond" w:cs="EB Garamond"/>
          <w:sz w:val="24"/>
          <w:szCs w:val="24"/>
          <w:lang w:val="en-US"/>
        </w:rPr>
        <w:t>great potential</w:t>
      </w:r>
      <w:r w:rsidRPr="62480E29" w:rsidR="009B4098">
        <w:rPr>
          <w:rFonts w:ascii="EB Garamond" w:hAnsi="EB Garamond" w:eastAsia="EB Garamond" w:cs="EB Garamond"/>
          <w:sz w:val="24"/>
          <w:szCs w:val="24"/>
          <w:lang w:val="en-US"/>
        </w:rPr>
        <w:t xml:space="preserve"> to close longstanding productivity gaps by fostering innovation, deregulating the business environment, and creating a more attractive climate for investment and industrial growth. However, by borrowing heavily fr</w:t>
      </w:r>
      <w:r w:rsidRPr="62480E29" w:rsidR="009B4098">
        <w:rPr>
          <w:rFonts w:ascii="EB Garamond" w:hAnsi="EB Garamond" w:eastAsia="EB Garamond" w:cs="EB Garamond"/>
          <w:sz w:val="24"/>
          <w:szCs w:val="24"/>
          <w:lang w:val="en-US"/>
        </w:rPr>
        <w:t xml:space="preserve">om the American deregulation playbook, </w:t>
      </w:r>
      <w:r w:rsidRPr="62480E29" w:rsidR="009B4098">
        <w:rPr>
          <w:rFonts w:ascii="EB Garamond" w:hAnsi="EB Garamond" w:eastAsia="EB Garamond" w:cs="EB Garamond"/>
          <w:sz w:val="24"/>
          <w:szCs w:val="24"/>
          <w:lang w:val="en-US"/>
        </w:rPr>
        <w:t>it</w:t>
      </w:r>
      <w:r w:rsidRPr="62480E29" w:rsidR="009B4098">
        <w:rPr>
          <w:rFonts w:ascii="EB Garamond" w:hAnsi="EB Garamond" w:eastAsia="EB Garamond" w:cs="EB Garamond"/>
          <w:sz w:val="24"/>
          <w:szCs w:val="24"/>
          <w:lang w:val="en-US"/>
        </w:rPr>
        <w:t xml:space="preserve"> parts company with Jacques Delors’ conviction that Europe’s strength lies in difference, not imitation. </w:t>
      </w:r>
    </w:p>
    <w:p w:rsidR="003178F4" w:rsidP="62480E29" w:rsidRDefault="009B4098" w14:paraId="0000002F"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The Compass's emphasis on rapid deregulation and simplified governance has great </w:t>
      </w:r>
      <w:r w:rsidRPr="62480E29" w:rsidR="009B4098">
        <w:rPr>
          <w:rFonts w:ascii="EB Garamond" w:hAnsi="EB Garamond" w:eastAsia="EB Garamond" w:cs="EB Garamond"/>
          <w:sz w:val="24"/>
          <w:szCs w:val="24"/>
          <w:lang w:val="en-US"/>
        </w:rPr>
        <w:t>capacity</w:t>
      </w:r>
      <w:r w:rsidRPr="62480E29" w:rsidR="009B4098">
        <w:rPr>
          <w:rFonts w:ascii="EB Garamond" w:hAnsi="EB Garamond" w:eastAsia="EB Garamond" w:cs="EB Garamond"/>
          <w:sz w:val="24"/>
          <w:szCs w:val="24"/>
          <w:lang w:val="en-US"/>
        </w:rPr>
        <w:t xml:space="preserve"> to undermine Europe’s longstanding commitment to sustainability, social protections, and </w:t>
      </w:r>
      <w:r w:rsidRPr="62480E29" w:rsidR="009B4098">
        <w:rPr>
          <w:rFonts w:ascii="EB Garamond" w:hAnsi="EB Garamond" w:eastAsia="EB Garamond" w:cs="EB Garamond"/>
          <w:sz w:val="24"/>
          <w:szCs w:val="24"/>
          <w:lang w:val="en-US"/>
        </w:rPr>
        <w:t>equitable</w:t>
      </w:r>
      <w:r w:rsidRPr="62480E29" w:rsidR="009B4098">
        <w:rPr>
          <w:rFonts w:ascii="EB Garamond" w:hAnsi="EB Garamond" w:eastAsia="EB Garamond" w:cs="EB Garamond"/>
          <w:sz w:val="24"/>
          <w:szCs w:val="24"/>
          <w:lang w:val="en-US"/>
        </w:rPr>
        <w:t xml:space="preserve"> growth—all cornerstones of Jacques Delors' original vision of social capitalism. In his words, “It would be unacceptable for Europe to become a source of social regression, while we are trying to rediscover together the road to prosperity and employment</w:t>
      </w:r>
      <w:r w:rsidRPr="62480E29" w:rsidR="009B4098">
        <w:rPr>
          <w:rFonts w:ascii="EB Garamond" w:hAnsi="EB Garamond" w:eastAsia="EB Garamond" w:cs="EB Garamond"/>
          <w:sz w:val="24"/>
          <w:szCs w:val="24"/>
          <w:lang w:val="en-US"/>
        </w:rPr>
        <w:t>”.</w:t>
      </w:r>
      <w:r w:rsidRPr="62480E29">
        <w:rPr>
          <w:rFonts w:ascii="EB Garamond" w:hAnsi="EB Garamond" w:eastAsia="EB Garamond" w:cs="EB Garamond"/>
          <w:sz w:val="24"/>
          <w:szCs w:val="24"/>
          <w:vertAlign w:val="superscript"/>
          <w:lang w:val="en-US"/>
        </w:rPr>
        <w:footnoteReference w:id="19"/>
      </w:r>
    </w:p>
    <w:p w:rsidR="003178F4" w:rsidRDefault="009B4098" w14:paraId="00000030" w14:textId="77777777">
      <w:pPr>
        <w:spacing w:line="480" w:lineRule="auto"/>
        <w:ind w:firstLine="720"/>
        <w:rPr>
          <w:rFonts w:ascii="EB Garamond" w:hAnsi="EB Garamond" w:eastAsia="EB Garamond" w:cs="EB Garamond"/>
          <w:sz w:val="24"/>
          <w:szCs w:val="24"/>
        </w:rPr>
      </w:pPr>
      <w:r>
        <w:rPr>
          <w:rFonts w:ascii="EB Garamond" w:hAnsi="EB Garamond" w:eastAsia="EB Garamond" w:cs="EB Garamond"/>
          <w:sz w:val="24"/>
          <w:szCs w:val="24"/>
        </w:rPr>
        <w:t xml:space="preserve">By eroding and compromising on these values, the Compass threatens to reduce the EU’s role as a global standard-setter in social and environmental governance. This would undermine the normative influence and moral leadership Europe has cultivated since the Delors presidency, a critical piece of Europe’s role in the world. </w:t>
      </w:r>
    </w:p>
    <w:p w:rsidR="003178F4" w:rsidP="62480E29" w:rsidRDefault="009B4098" w14:paraId="00000031"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Delors </w:t>
      </w:r>
      <w:r w:rsidRPr="62480E29" w:rsidR="009B4098">
        <w:rPr>
          <w:rFonts w:ascii="EB Garamond" w:hAnsi="EB Garamond" w:eastAsia="EB Garamond" w:cs="EB Garamond"/>
          <w:sz w:val="24"/>
          <w:szCs w:val="24"/>
          <w:lang w:val="en-US"/>
        </w:rPr>
        <w:t>demonstrated</w:t>
      </w:r>
      <w:r w:rsidRPr="62480E29" w:rsidR="009B4098">
        <w:rPr>
          <w:rFonts w:ascii="EB Garamond" w:hAnsi="EB Garamond" w:eastAsia="EB Garamond" w:cs="EB Garamond"/>
          <w:sz w:val="24"/>
          <w:szCs w:val="24"/>
          <w:lang w:val="en-US"/>
        </w:rPr>
        <w:t xml:space="preserve"> that shielding and refining Europe’s social model could coexist with, and indeed fuel, global competitiveness. Today, however, the rush to deregulate threatens to turn that lesson on its head—eroding social protections in exchange for marginal efficiency gains that may never </w:t>
      </w:r>
      <w:r w:rsidRPr="62480E29" w:rsidR="009B4098">
        <w:rPr>
          <w:rFonts w:ascii="EB Garamond" w:hAnsi="EB Garamond" w:eastAsia="EB Garamond" w:cs="EB Garamond"/>
          <w:sz w:val="24"/>
          <w:szCs w:val="24"/>
          <w:lang w:val="en-US"/>
        </w:rPr>
        <w:t>materialise</w:t>
      </w:r>
      <w:r w:rsidRPr="62480E29" w:rsidR="009B4098">
        <w:rPr>
          <w:rFonts w:ascii="EB Garamond" w:hAnsi="EB Garamond" w:eastAsia="EB Garamond" w:cs="EB Garamond"/>
          <w:sz w:val="24"/>
          <w:szCs w:val="24"/>
          <w:lang w:val="en-US"/>
        </w:rPr>
        <w:t xml:space="preserve">. If the EU is to reclaim its economic dynamism without </w:t>
      </w:r>
      <w:r w:rsidRPr="62480E29" w:rsidR="009B4098">
        <w:rPr>
          <w:rFonts w:ascii="EB Garamond" w:hAnsi="EB Garamond" w:eastAsia="EB Garamond" w:cs="EB Garamond"/>
          <w:sz w:val="24"/>
          <w:szCs w:val="24"/>
          <w:lang w:val="en-US"/>
        </w:rPr>
        <w:t>forfeiting</w:t>
      </w:r>
      <w:r w:rsidRPr="62480E29" w:rsidR="009B4098">
        <w:rPr>
          <w:rFonts w:ascii="EB Garamond" w:hAnsi="EB Garamond" w:eastAsia="EB Garamond" w:cs="EB Garamond"/>
          <w:sz w:val="24"/>
          <w:szCs w:val="24"/>
          <w:lang w:val="en-US"/>
        </w:rPr>
        <w:t xml:space="preserve"> its identity, it must rediscover Delors’ willingness to innovate on its own terms rather than import policies wholesale from abroad.</w:t>
      </w:r>
    </w:p>
    <w:p w:rsidR="003178F4" w:rsidP="62480E29" w:rsidRDefault="009B4098" w14:paraId="00000032"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 xml:space="preserve">However, Delors also recognized the necessity of economic productivity for European leadership on the world stage, his visionary conception of the European Single Market was as an engine of prosperity to allow Europe to stay competitive in the age of globalization. In championing his signature competition strategy, the single market, Delors grouped observers into several camps. “First, there are those who are </w:t>
      </w:r>
      <w:r w:rsidRPr="62480E29" w:rsidR="009B4098">
        <w:rPr>
          <w:rFonts w:ascii="EB Garamond" w:hAnsi="EB Garamond" w:eastAsia="EB Garamond" w:cs="EB Garamond"/>
          <w:sz w:val="24"/>
          <w:szCs w:val="24"/>
          <w:lang w:val="en-US"/>
        </w:rPr>
        <w:t>sceptical</w:t>
      </w:r>
      <w:r w:rsidRPr="62480E29" w:rsidR="009B4098">
        <w:rPr>
          <w:rFonts w:ascii="EB Garamond" w:hAnsi="EB Garamond" w:eastAsia="EB Garamond" w:cs="EB Garamond"/>
          <w:sz w:val="24"/>
          <w:szCs w:val="24"/>
          <w:lang w:val="en-US"/>
        </w:rPr>
        <w:t>… They also fear that increased competition will only put at risk our social achievements…</w:t>
      </w:r>
      <w:r w:rsidRPr="62480E29" w:rsidR="009B4098">
        <w:rPr>
          <w:rFonts w:ascii="EB Garamond" w:hAnsi="EB Garamond" w:eastAsia="EB Garamond" w:cs="EB Garamond"/>
          <w:sz w:val="24"/>
          <w:szCs w:val="24"/>
          <w:lang w:val="en-US"/>
        </w:rPr>
        <w:t xml:space="preserve"> Second, there are the enthusiasts. They see… [it] as the answer to all their problems. They </w:t>
      </w:r>
      <w:r w:rsidRPr="62480E29" w:rsidR="009B4098">
        <w:rPr>
          <w:rFonts w:ascii="EB Garamond" w:hAnsi="EB Garamond" w:eastAsia="EB Garamond" w:cs="EB Garamond"/>
          <w:sz w:val="24"/>
          <w:szCs w:val="24"/>
          <w:lang w:val="en-US"/>
        </w:rPr>
        <w:t xml:space="preserve">maintain</w:t>
      </w:r>
      <w:r w:rsidRPr="62480E29" w:rsidR="009B4098">
        <w:rPr>
          <w:rFonts w:ascii="EB Garamond" w:hAnsi="EB Garamond" w:eastAsia="EB Garamond" w:cs="EB Garamond"/>
          <w:sz w:val="24"/>
          <w:szCs w:val="24"/>
          <w:lang w:val="en-US"/>
        </w:rPr>
        <w:t xml:space="preserve"> that it, alone and unaided, will result in… spectacular growth…</w:t>
      </w:r>
      <w:r w:rsidRPr="62480E29" w:rsidR="009B4098">
        <w:rPr>
          <w:rFonts w:ascii="EB Garamond" w:hAnsi="EB Garamond" w:eastAsia="EB Garamond" w:cs="EB Garamond"/>
          <w:sz w:val="24"/>
          <w:szCs w:val="24"/>
          <w:lang w:val="en-US"/>
        </w:rPr>
        <w:t xml:space="preserve">”.</w:t>
      </w:r>
      <w:r w:rsidRPr="62480E29">
        <w:rPr>
          <w:rFonts w:ascii="EB Garamond" w:hAnsi="EB Garamond" w:eastAsia="EB Garamond" w:cs="EB Garamond"/>
          <w:sz w:val="24"/>
          <w:szCs w:val="24"/>
          <w:vertAlign w:val="superscript"/>
          <w:lang w:val="en-US"/>
        </w:rPr>
        <w:footnoteReference w:id="20"/>
      </w:r>
      <w:r w:rsidRPr="62480E29" w:rsidR="009B4098">
        <w:rPr>
          <w:rFonts w:ascii="EB Garamond" w:hAnsi="EB Garamond" w:eastAsia="EB Garamond" w:cs="EB Garamond"/>
          <w:sz w:val="24"/>
          <w:szCs w:val="24"/>
          <w:lang w:val="en-US"/>
        </w:rPr>
        <w:t xml:space="preserve"> Delors charted a path between overriding doubt and blind faith and chose to apply “constant effort and imagination” to ensure that efforts to reignite European competitiveness would respect fundamental social rights and </w:t>
      </w:r>
      <w:r w:rsidRPr="62480E29" w:rsidR="009B4098">
        <w:rPr>
          <w:rFonts w:ascii="EB Garamond" w:hAnsi="EB Garamond" w:eastAsia="EB Garamond" w:cs="EB Garamond"/>
          <w:sz w:val="24"/>
          <w:szCs w:val="24"/>
          <w:lang w:val="en-US"/>
        </w:rPr>
        <w:t xml:space="preserve">philosophies.</w:t>
      </w:r>
      <w:r w:rsidRPr="62480E29">
        <w:rPr>
          <w:rFonts w:ascii="EB Garamond" w:hAnsi="EB Garamond" w:eastAsia="EB Garamond" w:cs="EB Garamond"/>
          <w:sz w:val="24"/>
          <w:szCs w:val="24"/>
          <w:vertAlign w:val="superscript"/>
          <w:lang w:val="en-US"/>
        </w:rPr>
        <w:footnoteReference w:id="21"/>
      </w:r>
    </w:p>
    <w:p w:rsidR="003178F4" w:rsidP="62480E29" w:rsidRDefault="009B4098" w14:paraId="00000033" w14:textId="77777777">
      <w:pPr>
        <w:spacing w:line="480" w:lineRule="auto"/>
        <w:ind w:firstLine="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The legacy and success of the Competitiveness Compass will be determined by its ability to reconcile the urgent need for economic revitalization with the preservation of Europe's distinct socio-economic identity. Achieving a successful balance of innovation, market efficiency, and robust social standards are essential for the EU to regain its competitive edge while upholding the legacy of solidarity and equity foundational to its history and unique global position.</w:t>
      </w:r>
    </w:p>
    <w:p w:rsidR="003178F4" w:rsidRDefault="003178F4" w14:paraId="00000034" w14:textId="77777777">
      <w:pPr>
        <w:spacing w:line="480" w:lineRule="auto"/>
        <w:ind w:firstLine="720"/>
        <w:rPr>
          <w:rFonts w:ascii="EB Garamond" w:hAnsi="EB Garamond" w:eastAsia="EB Garamond" w:cs="EB Garamond"/>
          <w:sz w:val="24"/>
          <w:szCs w:val="24"/>
        </w:rPr>
      </w:pPr>
    </w:p>
    <w:p w:rsidR="003178F4" w:rsidRDefault="009B4098" w14:paraId="00000035" w14:textId="77777777">
      <w:pPr>
        <w:spacing w:line="480" w:lineRule="auto"/>
        <w:jc w:val="center"/>
        <w:rPr>
          <w:rFonts w:ascii="EB Garamond" w:hAnsi="EB Garamond" w:eastAsia="EB Garamond" w:cs="EB Garamond"/>
          <w:sz w:val="24"/>
          <w:szCs w:val="24"/>
        </w:rPr>
      </w:pPr>
      <w:r>
        <w:rPr>
          <w:rFonts w:ascii="EB Garamond" w:hAnsi="EB Garamond" w:eastAsia="EB Garamond" w:cs="EB Garamond"/>
          <w:sz w:val="24"/>
          <w:szCs w:val="24"/>
        </w:rPr>
        <w:t>Works Cited:</w:t>
      </w:r>
    </w:p>
    <w:p w:rsidR="003178F4" w:rsidRDefault="009B4098" w14:paraId="00000036" w14:textId="77777777">
      <w:pPr>
        <w:spacing w:line="480" w:lineRule="auto"/>
        <w:ind w:left="720" w:hanging="720"/>
        <w:rPr>
          <w:rFonts w:ascii="EB Garamond" w:hAnsi="EB Garamond" w:eastAsia="EB Garamond" w:cs="EB Garamond"/>
          <w:sz w:val="24"/>
          <w:szCs w:val="24"/>
        </w:rPr>
      </w:pPr>
      <w:r>
        <w:rPr>
          <w:rFonts w:ascii="EB Garamond" w:hAnsi="EB Garamond" w:eastAsia="EB Garamond" w:cs="EB Garamond"/>
          <w:sz w:val="24"/>
          <w:szCs w:val="24"/>
        </w:rPr>
        <w:t>Alemanno, A. (2025, February). A deregulation drive could undermine European competitiveness. Project Syndicate. https://www.project-syndicate.org/commentary/deregulatory-drive-could-undermine-european-competitiveness-by-alberto-alemanno-2025-02</w:t>
      </w:r>
    </w:p>
    <w:p w:rsidR="003178F4" w:rsidRDefault="003178F4" w14:paraId="00000037" w14:textId="77777777">
      <w:pPr>
        <w:spacing w:line="480" w:lineRule="auto"/>
        <w:ind w:left="720"/>
        <w:rPr>
          <w:rFonts w:ascii="EB Garamond" w:hAnsi="EB Garamond" w:eastAsia="EB Garamond" w:cs="EB Garamond"/>
          <w:sz w:val="24"/>
          <w:szCs w:val="24"/>
        </w:rPr>
      </w:pPr>
    </w:p>
    <w:p w:rsidR="003178F4" w:rsidP="62480E29" w:rsidRDefault="009B4098" w14:paraId="00000038" w14:textId="77777777">
      <w:pPr>
        <w:spacing w:line="480" w:lineRule="auto"/>
        <w:ind w:left="720"/>
        <w:rPr>
          <w:rFonts w:ascii="EB Garamond" w:hAnsi="EB Garamond" w:eastAsia="EB Garamond" w:cs="EB Garamond"/>
          <w:sz w:val="24"/>
          <w:szCs w:val="24"/>
          <w:lang w:val="en-US"/>
        </w:rPr>
      </w:pPr>
      <w:r w:rsidRPr="62480E29" w:rsidR="009B4098">
        <w:rPr>
          <w:rFonts w:ascii="EB Garamond" w:hAnsi="EB Garamond" w:eastAsia="EB Garamond" w:cs="EB Garamond"/>
          <w:sz w:val="24"/>
          <w:szCs w:val="24"/>
          <w:lang w:val="en-US"/>
        </w:rPr>
        <w:t>Bitumi, M. (2018). ‘An uplifting tale of Europe’. Jacques Delors and the contradictory quest for a European social model in the Age of Reagan. Journal of Transatlantic Studies, 14(2), 103–117. https://www.tandfonline.com/doi/full/10.1080/14794012.2018.1482709</w:t>
      </w:r>
    </w:p>
    <w:p w:rsidR="003178F4" w:rsidRDefault="003178F4" w14:paraId="00000039" w14:textId="77777777">
      <w:pPr>
        <w:spacing w:line="480" w:lineRule="auto"/>
        <w:ind w:left="720"/>
        <w:rPr>
          <w:rFonts w:ascii="EB Garamond" w:hAnsi="EB Garamond" w:eastAsia="EB Garamond" w:cs="EB Garamond"/>
          <w:sz w:val="24"/>
          <w:szCs w:val="24"/>
        </w:rPr>
      </w:pPr>
    </w:p>
    <w:p w:rsidR="003178F4" w:rsidRDefault="009B4098" w14:paraId="0000003A"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Delors, J. (1988, September 7). Speech by Jacques Delors to the Trades Union Congress: The Social Dimension [SPEECH/88/66]. European Commission. https://ec.europa.eu/commission/presscorner/api/files/document/print/en/speech_88_66/SPEECH_88_66_EN.pdf</w:t>
      </w:r>
    </w:p>
    <w:p w:rsidR="003178F4" w:rsidRDefault="003178F4" w14:paraId="0000003B" w14:textId="77777777">
      <w:pPr>
        <w:spacing w:line="480" w:lineRule="auto"/>
        <w:ind w:left="720"/>
        <w:rPr>
          <w:rFonts w:ascii="EB Garamond" w:hAnsi="EB Garamond" w:eastAsia="EB Garamond" w:cs="EB Garamond"/>
          <w:sz w:val="24"/>
          <w:szCs w:val="24"/>
        </w:rPr>
      </w:pPr>
    </w:p>
    <w:p w:rsidR="003178F4" w:rsidRDefault="009B4098" w14:paraId="0000003C"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EUobserver. (2024, February). Business lobbies clash over EU deregulation agenda. https://euobserver.com/stakeholders/ar97c2442c</w:t>
      </w:r>
    </w:p>
    <w:p w:rsidR="003178F4" w:rsidRDefault="003178F4" w14:paraId="0000003D" w14:textId="77777777">
      <w:pPr>
        <w:spacing w:line="480" w:lineRule="auto"/>
        <w:ind w:left="720"/>
        <w:rPr>
          <w:rFonts w:ascii="EB Garamond" w:hAnsi="EB Garamond" w:eastAsia="EB Garamond" w:cs="EB Garamond"/>
          <w:sz w:val="24"/>
          <w:szCs w:val="24"/>
        </w:rPr>
      </w:pPr>
    </w:p>
    <w:p w:rsidR="003178F4" w:rsidRDefault="009B4098" w14:paraId="0000003E"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EUobserver. (2024, March). MEPs warn deregulation risks Europe’s social and environmental progress. https://euobserver.com/eu-political/ar3d655039</w:t>
      </w:r>
    </w:p>
    <w:p w:rsidR="003178F4" w:rsidRDefault="003178F4" w14:paraId="0000003F" w14:textId="77777777">
      <w:pPr>
        <w:spacing w:line="480" w:lineRule="auto"/>
        <w:ind w:left="720"/>
        <w:rPr>
          <w:rFonts w:ascii="EB Garamond" w:hAnsi="EB Garamond" w:eastAsia="EB Garamond" w:cs="EB Garamond"/>
          <w:sz w:val="24"/>
          <w:szCs w:val="24"/>
        </w:rPr>
      </w:pPr>
    </w:p>
    <w:p w:rsidR="003178F4" w:rsidRDefault="009B4098" w14:paraId="00000040"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European Commission. (1994). European social policy: A way forward for the Union (White Paper) [COM (94) 333]. Archive of European Integration. https://aei.pitt.edu/1118/1/social_policy_white_paper_COM_94_333_A.pdf</w:t>
      </w:r>
    </w:p>
    <w:p w:rsidR="003178F4" w:rsidRDefault="003178F4" w14:paraId="00000041" w14:textId="77777777">
      <w:pPr>
        <w:spacing w:line="480" w:lineRule="auto"/>
        <w:ind w:left="720"/>
        <w:rPr>
          <w:rFonts w:ascii="EB Garamond" w:hAnsi="EB Garamond" w:eastAsia="EB Garamond" w:cs="EB Garamond"/>
          <w:sz w:val="24"/>
          <w:szCs w:val="24"/>
        </w:rPr>
      </w:pPr>
    </w:p>
    <w:p w:rsidR="003178F4" w:rsidRDefault="009B4098" w14:paraId="00000042"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European Commission. (2023). Competitiveness Communication: Communication from the Commission to the European Parliament, the Council, the European Economic and Social Committee and the Committee of the Regions. https://commission.europa.eu/document/download/10017eb1-4722-4333-add2-e0ed18105a34_en</w:t>
      </w:r>
    </w:p>
    <w:p w:rsidR="003178F4" w:rsidRDefault="003178F4" w14:paraId="00000043" w14:textId="77777777">
      <w:pPr>
        <w:spacing w:line="480" w:lineRule="auto"/>
        <w:ind w:left="720"/>
        <w:rPr>
          <w:rFonts w:ascii="EB Garamond" w:hAnsi="EB Garamond" w:eastAsia="EB Garamond" w:cs="EB Garamond"/>
          <w:sz w:val="24"/>
          <w:szCs w:val="24"/>
        </w:rPr>
      </w:pPr>
    </w:p>
    <w:p w:rsidR="003178F4" w:rsidRDefault="009B4098" w14:paraId="00000044"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European Commission. (2023). The future of European competitiveness: A competitiveness strategy for Europe by Mario Draghi. https://commission.europa.eu/document/download/97e481fd-2dc3-412d-be4c-f152a8232961_en?filename=The%20future%20of%20European%20competitiveness%20_%20A%20competitiveness%20strategy%20for%20Europe.pdf</w:t>
      </w:r>
    </w:p>
    <w:p w:rsidR="003178F4" w:rsidRDefault="003178F4" w14:paraId="00000045" w14:textId="77777777">
      <w:pPr>
        <w:spacing w:line="480" w:lineRule="auto"/>
        <w:rPr>
          <w:rFonts w:ascii="EB Garamond" w:hAnsi="EB Garamond" w:eastAsia="EB Garamond" w:cs="EB Garamond"/>
          <w:sz w:val="24"/>
          <w:szCs w:val="24"/>
        </w:rPr>
      </w:pPr>
    </w:p>
    <w:p w:rsidR="003178F4" w:rsidRDefault="009B4098" w14:paraId="00000046"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European Commission. (n.d.). Competitiveness. https://commission.europa.eu/priorities-2024-2029/competitiveness_en</w:t>
      </w:r>
    </w:p>
    <w:p w:rsidR="003178F4" w:rsidRDefault="003178F4" w14:paraId="00000047" w14:textId="77777777">
      <w:pPr>
        <w:spacing w:line="480" w:lineRule="auto"/>
        <w:ind w:left="720"/>
        <w:rPr>
          <w:rFonts w:ascii="EB Garamond" w:hAnsi="EB Garamond" w:eastAsia="EB Garamond" w:cs="EB Garamond"/>
          <w:sz w:val="24"/>
          <w:szCs w:val="24"/>
        </w:rPr>
      </w:pPr>
    </w:p>
    <w:p w:rsidR="003178F4" w:rsidRDefault="009B4098" w14:paraId="00000048"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European Union. (1992, July 29). Treaty on European Union. Official Journal of the European Communities, C 191, 1–112. https://eur-lex.europa.eu/legal-content/EN/TXT/HTML/?uri=CELEX:11992M/TXT</w:t>
      </w:r>
    </w:p>
    <w:p w:rsidR="003178F4" w:rsidRDefault="003178F4" w14:paraId="00000049" w14:textId="77777777">
      <w:pPr>
        <w:spacing w:line="480" w:lineRule="auto"/>
        <w:ind w:left="720"/>
        <w:rPr>
          <w:rFonts w:ascii="EB Garamond" w:hAnsi="EB Garamond" w:eastAsia="EB Garamond" w:cs="EB Garamond"/>
          <w:sz w:val="24"/>
          <w:szCs w:val="24"/>
        </w:rPr>
      </w:pPr>
    </w:p>
    <w:p w:rsidR="003178F4" w:rsidP="215415DE" w:rsidRDefault="009B4098" w14:paraId="0000004A" w14:textId="77777777">
      <w:pPr>
        <w:spacing w:line="480" w:lineRule="auto"/>
        <w:ind w:left="720"/>
        <w:rPr>
          <w:rFonts w:ascii="EB Garamond" w:hAnsi="EB Garamond" w:eastAsia="EB Garamond" w:cs="EB Garamond"/>
          <w:sz w:val="24"/>
          <w:szCs w:val="24"/>
          <w:lang w:val="en-US"/>
        </w:rPr>
      </w:pPr>
      <w:r w:rsidRPr="215415DE" w:rsidR="7FBCBE0E">
        <w:rPr>
          <w:rFonts w:ascii="EB Garamond" w:hAnsi="EB Garamond" w:eastAsia="EB Garamond" w:cs="EB Garamond"/>
          <w:sz w:val="24"/>
          <w:szCs w:val="24"/>
          <w:lang w:val="en-US"/>
        </w:rPr>
        <w:t>Eurofound. (n.d.). European social model. European Industrial Relations Dictionary. https://www.eurofound.europa.eu/en/european-industrial-relations-dictionary/european-social-model</w:t>
      </w:r>
    </w:p>
    <w:p w:rsidR="003178F4" w:rsidRDefault="003178F4" w14:paraId="0000004B" w14:textId="77777777">
      <w:pPr>
        <w:spacing w:line="480" w:lineRule="auto"/>
        <w:ind w:left="720"/>
        <w:rPr>
          <w:rFonts w:ascii="EB Garamond" w:hAnsi="EB Garamond" w:eastAsia="EB Garamond" w:cs="EB Garamond"/>
          <w:sz w:val="24"/>
          <w:szCs w:val="24"/>
        </w:rPr>
      </w:pPr>
    </w:p>
    <w:p w:rsidR="003178F4" w:rsidRDefault="009B4098" w14:paraId="0000004C"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Energy Digital. (2025, February). EU Competitiveness Compass: Impacts on the Energy Industry. https://energydigital.com/articles/eu-competitiveness-compass-the-sustainability-impacts​</w:t>
      </w:r>
    </w:p>
    <w:p w:rsidR="003178F4" w:rsidRDefault="003178F4" w14:paraId="0000004D" w14:textId="77777777">
      <w:pPr>
        <w:spacing w:line="480" w:lineRule="auto"/>
        <w:rPr>
          <w:rFonts w:ascii="EB Garamond" w:hAnsi="EB Garamond" w:eastAsia="EB Garamond" w:cs="EB Garamond"/>
          <w:sz w:val="24"/>
          <w:szCs w:val="24"/>
        </w:rPr>
      </w:pPr>
    </w:p>
    <w:p w:rsidR="003178F4" w:rsidRDefault="009B4098" w14:paraId="0000004E"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Friends of the Earth Europe. (2025, January 28). The EU Competitiveness Compass: A risk to social and environmental safeguards. https://friendsoftheearth.eu/news/the-eu-competitiveness-compass-a-risk-to-social-and-environmental-safeguards/</w:t>
      </w:r>
    </w:p>
    <w:p w:rsidR="003178F4" w:rsidRDefault="003178F4" w14:paraId="0000004F" w14:textId="77777777">
      <w:pPr>
        <w:spacing w:line="480" w:lineRule="auto"/>
        <w:ind w:left="720"/>
        <w:rPr>
          <w:rFonts w:ascii="EB Garamond" w:hAnsi="EB Garamond" w:eastAsia="EB Garamond" w:cs="EB Garamond"/>
          <w:sz w:val="24"/>
          <w:szCs w:val="24"/>
        </w:rPr>
      </w:pPr>
    </w:p>
    <w:p w:rsidR="003178F4" w:rsidRDefault="009B4098" w14:paraId="00000050"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Heng, J. (2025, February 20). Moving beyond the regulation/deregulation trap. Center for Strategic and International Studies. https://www.csis.org/blogs/perspectives-innovation/moving-beyond-regulationderegulation-trap</w:t>
      </w:r>
    </w:p>
    <w:p w:rsidR="003178F4" w:rsidRDefault="003178F4" w14:paraId="00000051" w14:textId="77777777">
      <w:pPr>
        <w:spacing w:line="480" w:lineRule="auto"/>
        <w:ind w:left="720"/>
        <w:rPr>
          <w:rFonts w:ascii="EB Garamond" w:hAnsi="EB Garamond" w:eastAsia="EB Garamond" w:cs="EB Garamond"/>
          <w:sz w:val="24"/>
          <w:szCs w:val="24"/>
        </w:rPr>
      </w:pPr>
    </w:p>
    <w:p w:rsidR="003178F4" w:rsidRDefault="009B4098" w14:paraId="00000052"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Kiss, L. N. (2025, February 26). The EU’s Competitiveness Compass: The good, the bad, and the ugly? Information Technology and Innovation Foundation. https://itif.org/publications/2025/02/26/eu-competitiveness-compass-good-bad-and-ugly/​</w:t>
      </w:r>
    </w:p>
    <w:p w:rsidR="003178F4" w:rsidRDefault="003178F4" w14:paraId="00000053" w14:textId="77777777">
      <w:pPr>
        <w:spacing w:line="480" w:lineRule="auto"/>
        <w:ind w:left="720"/>
        <w:rPr>
          <w:rFonts w:ascii="EB Garamond" w:hAnsi="EB Garamond" w:eastAsia="EB Garamond" w:cs="EB Garamond"/>
          <w:sz w:val="24"/>
          <w:szCs w:val="24"/>
        </w:rPr>
      </w:pPr>
    </w:p>
    <w:p w:rsidR="003178F4" w:rsidRDefault="009B4098" w14:paraId="00000054" w14:textId="77777777">
      <w:pPr>
        <w:spacing w:line="480" w:lineRule="auto"/>
        <w:ind w:left="720"/>
        <w:rPr>
          <w:rFonts w:ascii="EB Garamond" w:hAnsi="EB Garamond" w:eastAsia="EB Garamond" w:cs="EB Garamond"/>
          <w:sz w:val="24"/>
          <w:szCs w:val="24"/>
        </w:rPr>
      </w:pPr>
      <w:r>
        <w:rPr>
          <w:rFonts w:ascii="EB Garamond" w:hAnsi="EB Garamond" w:eastAsia="EB Garamond" w:cs="EB Garamond"/>
          <w:sz w:val="24"/>
          <w:szCs w:val="24"/>
        </w:rPr>
        <w:t>Mariotti, S. (2024). “Open strategic autonomy” as an industrial policy compass for the EU competitiveness and growth: The good, the bad, or the ugly? Journal of Industrial and Business Economics, 52(1), 1–26. https://doi.org/10.1007/s40812-024-00327-y</w:t>
      </w:r>
    </w:p>
    <w:p w:rsidR="003178F4" w:rsidRDefault="003178F4" w14:paraId="00000055" w14:textId="77777777">
      <w:pPr>
        <w:spacing w:line="480" w:lineRule="auto"/>
        <w:ind w:left="720"/>
        <w:rPr>
          <w:rFonts w:ascii="EB Garamond" w:hAnsi="EB Garamond" w:eastAsia="EB Garamond" w:cs="EB Garamond"/>
          <w:sz w:val="24"/>
          <w:szCs w:val="24"/>
        </w:rPr>
      </w:pPr>
    </w:p>
    <w:p w:rsidR="003178F4" w:rsidP="215415DE" w:rsidRDefault="009B4098" w14:paraId="00000056" w14:textId="77777777">
      <w:pPr>
        <w:spacing w:line="480" w:lineRule="auto"/>
        <w:ind w:left="720" w:hanging="720"/>
        <w:rPr>
          <w:rFonts w:ascii="EB Garamond" w:hAnsi="EB Garamond" w:eastAsia="EB Garamond" w:cs="EB Garamond"/>
          <w:sz w:val="24"/>
          <w:szCs w:val="24"/>
          <w:lang w:val="en-US"/>
        </w:rPr>
      </w:pPr>
      <w:r w:rsidRPr="215415DE" w:rsidR="7FBCBE0E">
        <w:rPr>
          <w:rFonts w:ascii="EB Garamond" w:hAnsi="EB Garamond" w:eastAsia="EB Garamond" w:cs="EB Garamond"/>
          <w:sz w:val="24"/>
          <w:szCs w:val="24"/>
          <w:lang w:val="en-US"/>
        </w:rPr>
        <w:t>Reinsch, W. A. (2024, December 9). Regulatio ad absurdum. Center for Strategic and International Studies. https://www.csis.org/analysis/regulatio-ad-absurdum</w:t>
      </w:r>
    </w:p>
    <w:p w:rsidR="003178F4" w:rsidRDefault="003178F4" w14:paraId="00000057" w14:textId="77777777">
      <w:pPr>
        <w:spacing w:line="480" w:lineRule="auto"/>
        <w:ind w:left="720" w:hanging="720"/>
        <w:rPr>
          <w:rFonts w:ascii="EB Garamond" w:hAnsi="EB Garamond" w:eastAsia="EB Garamond" w:cs="EB Garamond"/>
          <w:sz w:val="24"/>
          <w:szCs w:val="24"/>
        </w:rPr>
      </w:pPr>
    </w:p>
    <w:p w:rsidR="003178F4" w:rsidP="215415DE" w:rsidRDefault="009B4098" w14:paraId="00000058" w14:textId="77777777">
      <w:pPr>
        <w:spacing w:line="480" w:lineRule="auto"/>
        <w:ind w:left="720" w:hanging="720"/>
        <w:rPr>
          <w:rFonts w:ascii="EB Garamond" w:hAnsi="EB Garamond" w:eastAsia="EB Garamond" w:cs="EB Garamond"/>
          <w:sz w:val="24"/>
          <w:szCs w:val="24"/>
          <w:lang w:val="en-US"/>
        </w:rPr>
      </w:pPr>
      <w:r w:rsidRPr="215415DE" w:rsidR="7FBCBE0E">
        <w:rPr>
          <w:rFonts w:ascii="EB Garamond" w:hAnsi="EB Garamond" w:eastAsia="EB Garamond" w:cs="EB Garamond"/>
          <w:sz w:val="24"/>
          <w:szCs w:val="24"/>
          <w:lang w:val="en-US"/>
        </w:rPr>
        <w:t>Zettelmeyer, J. (2025, January 15). Draghi on a shoestring: The European Commission’s Competitiveness Compass. Bruegel. https://www.bruegel.org/analysis/draghi-shoestring-european-commissions-competitiveness-compass</w:t>
      </w:r>
    </w:p>
    <w:p w:rsidR="003178F4" w:rsidRDefault="003178F4" w14:paraId="00000059" w14:textId="77777777">
      <w:pPr>
        <w:spacing w:line="480" w:lineRule="auto"/>
        <w:rPr>
          <w:rFonts w:ascii="EB Garamond" w:hAnsi="EB Garamond" w:eastAsia="EB Garamond" w:cs="EB Garamond"/>
          <w:sz w:val="24"/>
          <w:szCs w:val="24"/>
        </w:rPr>
      </w:pPr>
    </w:p>
    <w:p w:rsidR="003178F4" w:rsidRDefault="003178F4" w14:paraId="0000005A" w14:textId="77777777">
      <w:pPr>
        <w:spacing w:line="480" w:lineRule="auto"/>
        <w:rPr>
          <w:rFonts w:ascii="EB Garamond" w:hAnsi="EB Garamond" w:eastAsia="EB Garamond" w:cs="EB Garamond"/>
          <w:sz w:val="24"/>
          <w:szCs w:val="24"/>
        </w:rPr>
      </w:pPr>
    </w:p>
    <w:p w:rsidR="003178F4" w:rsidRDefault="003178F4" w14:paraId="0000005B" w14:textId="77777777">
      <w:pPr>
        <w:spacing w:line="480" w:lineRule="auto"/>
        <w:rPr>
          <w:rFonts w:ascii="EB Garamond" w:hAnsi="EB Garamond" w:eastAsia="EB Garamond" w:cs="EB Garamond"/>
          <w:sz w:val="24"/>
          <w:szCs w:val="24"/>
        </w:rPr>
      </w:pPr>
    </w:p>
    <w:sectPr w:rsidR="003178F4">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4098" w:rsidRDefault="009B4098" w14:paraId="758812D1" w14:textId="77777777">
      <w:pPr>
        <w:spacing w:line="240" w:lineRule="auto"/>
      </w:pPr>
      <w:r>
        <w:separator/>
      </w:r>
    </w:p>
  </w:endnote>
  <w:endnote w:type="continuationSeparator" w:id="0">
    <w:p w:rsidR="009B4098" w:rsidRDefault="009B4098" w14:paraId="6B15163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EB Garamond">
    <w:panose1 w:val="00000500000000000000"/>
    <w:charset w:val="00"/>
    <w:family w:val="auto"/>
    <w:pitch w:val="variable"/>
    <w:sig w:usb0="E00002FF" w:usb1="02000413" w:usb2="00000000" w:usb3="00000000" w:csb0="0000019F" w:csb1="00000000"/>
    <w:embedRegular w:fontKey="{045D59F7-0770-43A3-A1B5-3AEA35A30D90}" r:id="rId1"/>
    <w:embedBold w:fontKey="{4B136663-EFF6-471A-9B1B-19F674D6CF4E}" r:id="rId2"/>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B1543ED-86F6-433D-8772-79A2BBB1596E}"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8B2D9E4-F7F0-4BFA-9BE6-499CD53DAE23}"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4098" w:rsidRDefault="009B4098" w14:paraId="6435D4CA" w14:textId="77777777">
      <w:pPr>
        <w:spacing w:line="240" w:lineRule="auto"/>
      </w:pPr>
      <w:r>
        <w:separator/>
      </w:r>
    </w:p>
  </w:footnote>
  <w:footnote w:type="continuationSeparator" w:id="0">
    <w:p w:rsidR="009B4098" w:rsidRDefault="009B4098" w14:paraId="67B37071" w14:textId="77777777">
      <w:pPr>
        <w:spacing w:line="240" w:lineRule="auto"/>
      </w:pPr>
      <w:r>
        <w:continuationSeparator/>
      </w:r>
    </w:p>
  </w:footnote>
  <w:footnote w:id="1">
    <w:p w:rsidR="003178F4" w:rsidRDefault="009B4098" w14:paraId="0000006B"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Bitumi, 2018 – Massimo Bitumi, “Jacques Delors’ European Union: Constructing a Social Market Economy,” Journal of Contemporary European Research 14, no. 2 (2018).</w:t>
      </w:r>
    </w:p>
  </w:footnote>
  <w:footnote w:id="2">
    <w:p w:rsidR="003178F4" w:rsidRDefault="009B4098" w14:paraId="0000006C"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ibid</w:t>
      </w:r>
    </w:p>
  </w:footnote>
  <w:footnote w:id="3">
    <w:p w:rsidR="003178F4" w:rsidRDefault="009B4098" w14:paraId="0000006D"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Alemanno, 2025 – Alberto Alemanno, “A Deregulation Drive Could Undermine European Competitiveness,” Project Syndicate, February 2025.</w:t>
      </w:r>
    </w:p>
  </w:footnote>
  <w:footnote w:id="4">
    <w:p w:rsidR="003178F4" w:rsidRDefault="009B4098" w14:paraId="0000005C"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Delors, 1988 – Jacques Delors, Speech to the Trades Union Congress: The Social Dimension, September 7, 1988.</w:t>
      </w:r>
    </w:p>
  </w:footnote>
  <w:footnote w:id="5">
    <w:p w:rsidR="003178F4" w:rsidRDefault="009B4098" w14:paraId="0000005D"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Ibid</w:t>
      </w:r>
    </w:p>
  </w:footnote>
  <w:footnote w:id="6">
    <w:p w:rsidR="003178F4" w:rsidRDefault="009B4098" w14:paraId="0000005E"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Bitumi, 2018 – Massimo Bitumi, “Jacques Delors’ European Union: Constructing a Social Market Economy,” Journal of Contemporary European Research 14, no. 2 (2018).</w:t>
      </w:r>
    </w:p>
  </w:footnote>
  <w:footnote w:id="7">
    <w:p w:rsidR="003178F4" w:rsidRDefault="009B4098" w14:paraId="0000005F"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EUobserver, 2024a – EUobserver, “Business Lobbies Clash over EU Deregulation Agenda,” February 2024.</w:t>
      </w:r>
    </w:p>
  </w:footnote>
  <w:footnote w:id="8">
    <w:p w:rsidR="003178F4" w:rsidRDefault="009B4098" w14:paraId="0000006F"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Alemanno, 2025 – Alberto Alemanno, “A Deregulation Drive Could Undermine European Competitiveness,” Project Syndicate, February 2025.</w:t>
      </w:r>
    </w:p>
  </w:footnote>
  <w:footnote w:id="9">
    <w:p w:rsidR="003178F4" w:rsidRDefault="009B4098" w14:paraId="00000070"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Ibid</w:t>
      </w:r>
    </w:p>
  </w:footnote>
  <w:footnote w:id="10">
    <w:p w:rsidR="003178F4" w:rsidRDefault="009B4098" w14:paraId="0000006E"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Delors, 1988 – Jacques Delors, Speech to the Trades Union Congress: The Social Dimension, September 7, 1988.</w:t>
      </w:r>
    </w:p>
  </w:footnote>
  <w:footnote w:id="11">
    <w:p w:rsidR="003178F4" w:rsidRDefault="009B4098" w14:paraId="00000060"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European Commission, 2023b – European Commission, The Future of European Competitiveness: A Competitiveness Strategy for Europe, 2023.</w:t>
      </w:r>
    </w:p>
  </w:footnote>
  <w:footnote w:id="12">
    <w:p w:rsidR="003178F4" w:rsidRDefault="009B4098" w14:paraId="00000065"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Ibid</w:t>
      </w:r>
    </w:p>
  </w:footnote>
  <w:footnote w:id="13">
    <w:p w:rsidR="003178F4" w:rsidRDefault="009B4098" w14:paraId="00000061"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Ibid</w:t>
      </w:r>
    </w:p>
  </w:footnote>
  <w:footnote w:id="14">
    <w:p w:rsidR="003178F4" w:rsidRDefault="009B4098" w14:paraId="00000066"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Ibid</w:t>
      </w:r>
    </w:p>
  </w:footnote>
  <w:footnote w:id="15">
    <w:p w:rsidR="003178F4" w:rsidRDefault="009B4098" w14:paraId="00000062"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Bitumi, 2018 – Massimo Bitumi, “Jacques Delors’ European Union: Constructing a Social Market Economy,” Journal of Contemporary European Research 14, no. 2 (2018).</w:t>
      </w:r>
    </w:p>
  </w:footnote>
  <w:footnote w:id="16">
    <w:p w:rsidR="003178F4" w:rsidRDefault="009B4098" w14:paraId="00000063"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Alemanno, 2025 – Alberto Alemanno, “A Deregulation Drive Could Undermine European Competitiveness,” Project Syndicate, February 2025.</w:t>
      </w:r>
    </w:p>
  </w:footnote>
  <w:footnote w:id="17">
    <w:p w:rsidR="003178F4" w:rsidRDefault="009B4098" w14:paraId="00000064"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Ibid</w:t>
      </w:r>
    </w:p>
  </w:footnote>
  <w:footnote w:id="18">
    <w:p w:rsidR="003178F4" w:rsidRDefault="009B4098" w14:paraId="00000067"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Delors, 1988 – Jacques Delors, Speech to the Trades Union Congress: The Social Dimension, September 7, 1988.</w:t>
      </w:r>
    </w:p>
  </w:footnote>
  <w:footnote w:id="19">
    <w:p w:rsidR="003178F4" w:rsidRDefault="009B4098" w14:paraId="00000068"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Delors, 1988 – Jacques Delors, Speech to the Trades Union Congress: The Social Dimension, September 7, 1988.</w:t>
      </w:r>
    </w:p>
  </w:footnote>
  <w:footnote w:id="20">
    <w:p w:rsidR="003178F4" w:rsidRDefault="009B4098" w14:paraId="00000069"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ibid</w:t>
      </w:r>
    </w:p>
  </w:footnote>
  <w:footnote w:id="21">
    <w:p w:rsidR="003178F4" w:rsidRDefault="009B4098" w14:paraId="0000006A" w14:textId="77777777">
      <w:pPr>
        <w:spacing w:line="240" w:lineRule="auto"/>
        <w:rPr>
          <w:rFonts w:ascii="EB Garamond" w:hAnsi="EB Garamond" w:eastAsia="EB Garamond" w:cs="EB Garamond"/>
          <w:sz w:val="16"/>
          <w:szCs w:val="16"/>
        </w:rPr>
      </w:pPr>
      <w:r>
        <w:rPr>
          <w:vertAlign w:val="superscript"/>
        </w:rPr>
        <w:footnoteRef/>
      </w:r>
      <w:r>
        <w:rPr>
          <w:rFonts w:ascii="EB Garamond" w:hAnsi="EB Garamond" w:eastAsia="EB Garamond" w:cs="EB Garamond"/>
          <w:sz w:val="16"/>
          <w:szCs w:val="16"/>
        </w:rPr>
        <w:t xml:space="preserve"> Bitumi, 2018 – Massimo Bitumi, “Jacques Delors’ European Union: Constructing a Social Market Economy,” Journal of Contemporary European Research 14, no. 2 (2018).</w:t>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8F4"/>
    <w:rsid w:val="003178F4"/>
    <w:rsid w:val="009B4098"/>
    <w:rsid w:val="00D869CA"/>
    <w:rsid w:val="215415DE"/>
    <w:rsid w:val="62480E29"/>
    <w:rsid w:val="7FBCBE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7870D0A"/>
  <w15:docId w15:val="{2164E773-4629-44DF-B795-7B32B37DF2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outlineLvl w:val="0"/>
    </w:pPr>
    <w:rPr>
      <w:rFonts w:ascii="EB Garamond" w:hAnsi="EB Garamond" w:eastAsia="EB Garamond" w:cs="EB Garamond"/>
      <w:b/>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jc w:val="center"/>
    </w:pPr>
    <w:rPr>
      <w:rFonts w:ascii="EB Garamond" w:hAnsi="EB Garamond" w:eastAsia="EB Garamond" w:cs="EB Garamond"/>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0" /><Relationship Type="http://schemas.openxmlformats.org/officeDocument/2006/relationships/styles" Target="style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5282F6BE58E42A69B4E13C902838B" ma:contentTypeVersion="15" ma:contentTypeDescription="Create a new document." ma:contentTypeScope="" ma:versionID="b5770b62d5ad07e71c88c9732a605c58">
  <xsd:schema xmlns:xsd="http://www.w3.org/2001/XMLSchema" xmlns:xs="http://www.w3.org/2001/XMLSchema" xmlns:p="http://schemas.microsoft.com/office/2006/metadata/properties" xmlns:ns2="cdee6354-87b9-4c8c-82dc-4439a45a351e" xmlns:ns3="de1b5eb2-44ae-4da3-a956-d4c4b6975a78" targetNamespace="http://schemas.microsoft.com/office/2006/metadata/properties" ma:root="true" ma:fieldsID="4cb2c8a64d8fb7f607745adedcd806ad" ns2:_="" ns3:_="">
    <xsd:import namespace="cdee6354-87b9-4c8c-82dc-4439a45a351e"/>
    <xsd:import namespace="de1b5eb2-44ae-4da3-a956-d4c4b6975a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e6354-87b9-4c8c-82dc-4439a45a3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1b5eb2-44ae-4da3-a956-d4c4b6975a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da0c63-f786-4e91-a1cb-fa545622b759}" ma:internalName="TaxCatchAll" ma:showField="CatchAllData" ma:web="de1b5eb2-44ae-4da3-a956-d4c4b6975a7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1b5eb2-44ae-4da3-a956-d4c4b6975a78" xsi:nil="true"/>
    <lcf76f155ced4ddcb4097134ff3c332f xmlns="cdee6354-87b9-4c8c-82dc-4439a45a35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B48838-1E95-4322-BCD6-8345F5BC2F41}">
  <ds:schemaRefs>
    <ds:schemaRef ds:uri="http://schemas.microsoft.com/sharepoint/v3/contenttype/forms"/>
  </ds:schemaRefs>
</ds:datastoreItem>
</file>

<file path=customXml/itemProps2.xml><?xml version="1.0" encoding="utf-8"?>
<ds:datastoreItem xmlns:ds="http://schemas.openxmlformats.org/officeDocument/2006/customXml" ds:itemID="{82018EF3-AD1D-44A2-BE65-8DDA1F475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e6354-87b9-4c8c-82dc-4439a45a351e"/>
    <ds:schemaRef ds:uri="de1b5eb2-44ae-4da3-a956-d4c4b6975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FBB80F-9DAE-4BF5-A4D1-5C29865ABFFD}">
  <ds:schemaRefs>
    <ds:schemaRef ds:uri="http://schemas.microsoft.com/office/2006/metadata/properties"/>
    <ds:schemaRef ds:uri="http://schemas.microsoft.com/office/infopath/2007/PartnerControls"/>
    <ds:schemaRef ds:uri="de1b5eb2-44ae-4da3-a956-d4c4b6975a78"/>
    <ds:schemaRef ds:uri="cdee6354-87b9-4c8c-82dc-4439a45a351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Zajac, Justyna</lastModifiedBy>
  <revision>3</revision>
  <dcterms:created xsi:type="dcterms:W3CDTF">2025-05-08T15:49:00.0000000Z</dcterms:created>
  <dcterms:modified xsi:type="dcterms:W3CDTF">2025-05-08T15:53:17.3039207Z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0x0101006445282F6BE58E42A69B4E13C902838B</vt:lpwstr>
  </property>
  <property fmtid="{D5CDD505-2E9C-101B-9397-08002B2CF9AE}" pid="3" name="MediaServiceImageTags">
    <vt:lpwstr/>
  </property>
</Properties>
</file>